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B808" w14:textId="77777777" w:rsidR="00FE1741" w:rsidRDefault="00FE1741">
      <w:pPr>
        <w:rPr>
          <w:rFonts w:ascii="Fira Sans Condensed" w:hAnsi="Fira Sans Condensed" w:cs="Open Sans"/>
          <w:b/>
          <w:bCs/>
          <w:sz w:val="40"/>
          <w:szCs w:val="40"/>
        </w:rPr>
      </w:pPr>
      <w:r>
        <w:rPr>
          <w:rFonts w:ascii="Fira Sans Condensed" w:hAnsi="Fira Sans Condensed" w:cs="Open Sans"/>
          <w:b/>
          <w:bCs/>
          <w:sz w:val="40"/>
          <w:szCs w:val="40"/>
        </w:rPr>
        <w:t xml:space="preserve">Improve Diagnostic Accuracy for Coronary Disease: </w:t>
      </w:r>
    </w:p>
    <w:p w14:paraId="33C9A42D" w14:textId="3E7D0304" w:rsidR="005D05B3" w:rsidRPr="00343D1E" w:rsidRDefault="00FE1741">
      <w:pPr>
        <w:rPr>
          <w:rFonts w:ascii="Fira Sans Condensed" w:hAnsi="Fira Sans Condensed" w:cs="Open Sans"/>
          <w:b/>
          <w:bCs/>
          <w:sz w:val="40"/>
          <w:szCs w:val="40"/>
        </w:rPr>
      </w:pPr>
      <w:r>
        <w:rPr>
          <w:rFonts w:ascii="Fira Sans Condensed" w:hAnsi="Fira Sans Condensed" w:cs="Open Sans"/>
          <w:b/>
          <w:bCs/>
          <w:sz w:val="40"/>
          <w:szCs w:val="40"/>
        </w:rPr>
        <w:t>Begin with the Assays</w:t>
      </w:r>
    </w:p>
    <w:p w14:paraId="40B30ABE" w14:textId="6F9DE6C7" w:rsidR="00AC7293" w:rsidRDefault="00AC7293">
      <w:pPr>
        <w:rPr>
          <w:rFonts w:ascii="Open Sans" w:hAnsi="Open Sans" w:cs="Open Sans"/>
          <w:sz w:val="20"/>
          <w:szCs w:val="20"/>
        </w:rPr>
      </w:pPr>
      <w:r w:rsidRPr="001318F3">
        <w:rPr>
          <w:rFonts w:ascii="Open Sans" w:hAnsi="Open Sans" w:cs="Open Sans"/>
          <w:sz w:val="20"/>
          <w:szCs w:val="20"/>
        </w:rPr>
        <w:t>Faye Walker, Ph.D.</w:t>
      </w:r>
    </w:p>
    <w:p w14:paraId="17AB5B67" w14:textId="23DE42AE" w:rsidR="00EE4F64" w:rsidRDefault="00EE4F64">
      <w:pPr>
        <w:rPr>
          <w:rFonts w:ascii="Open Sans" w:hAnsi="Open Sans" w:cs="Open Sans"/>
          <w:sz w:val="20"/>
          <w:szCs w:val="20"/>
        </w:rPr>
      </w:pPr>
    </w:p>
    <w:p w14:paraId="5F044A7E" w14:textId="118B268E" w:rsidR="00EE4F64" w:rsidRPr="001318F3" w:rsidRDefault="003F31FD" w:rsidP="003F31FD">
      <w:pPr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2252BFEC" wp14:editId="27CBF63C">
            <wp:extent cx="3694496" cy="1426588"/>
            <wp:effectExtent l="0" t="0" r="1270" b="254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496" cy="142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5A496" w14:textId="77777777" w:rsidR="005F4697" w:rsidRDefault="00F44ACA" w:rsidP="00F44ACA">
      <w:pPr>
        <w:rPr>
          <w:rFonts w:ascii="Open Sans" w:hAnsi="Open Sans" w:cs="Open Sans"/>
          <w:sz w:val="20"/>
          <w:szCs w:val="20"/>
        </w:rPr>
      </w:pPr>
      <w:r w:rsidRPr="001318F3">
        <w:rPr>
          <w:rFonts w:ascii="Open Sans" w:hAnsi="Open Sans" w:cs="Open Sans"/>
          <w:sz w:val="20"/>
          <w:szCs w:val="20"/>
        </w:rPr>
        <w:t xml:space="preserve">Chest pain.  Shortness of breath.  Vomiting.  What do these three things have in common?  All are symptoms of coronary artery disease. </w:t>
      </w:r>
    </w:p>
    <w:p w14:paraId="6BF3D8CA" w14:textId="512C7FF8" w:rsidR="0069106B" w:rsidRDefault="0069106B" w:rsidP="00F44ACA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Premature deaths from c</w:t>
      </w:r>
      <w:r w:rsidR="005F4697">
        <w:rPr>
          <w:rFonts w:ascii="Open Sans" w:hAnsi="Open Sans" w:cs="Open Sans"/>
          <w:sz w:val="20"/>
          <w:szCs w:val="20"/>
        </w:rPr>
        <w:t>oronary heart disease</w:t>
      </w:r>
      <w:r>
        <w:rPr>
          <w:rFonts w:ascii="Open Sans" w:hAnsi="Open Sans" w:cs="Open Sans"/>
          <w:sz w:val="20"/>
          <w:szCs w:val="20"/>
        </w:rPr>
        <w:t xml:space="preserve"> are largely attributable to </w:t>
      </w:r>
      <w:r w:rsidRPr="001318F3">
        <w:rPr>
          <w:rFonts w:ascii="Open Sans" w:hAnsi="Open Sans" w:cs="Open Sans"/>
          <w:sz w:val="20"/>
          <w:szCs w:val="20"/>
        </w:rPr>
        <w:t xml:space="preserve">acute myocardial infarction </w:t>
      </w:r>
      <w:r>
        <w:rPr>
          <w:rFonts w:ascii="Open Sans" w:hAnsi="Open Sans" w:cs="Open Sans"/>
          <w:sz w:val="20"/>
          <w:szCs w:val="20"/>
        </w:rPr>
        <w:t>(AMI)</w:t>
      </w:r>
      <w:r w:rsidR="009A7D6E">
        <w:rPr>
          <w:rFonts w:ascii="Open Sans" w:hAnsi="Open Sans" w:cs="Open Sans"/>
          <w:sz w:val="20"/>
          <w:szCs w:val="20"/>
        </w:rPr>
        <w:t xml:space="preserve">.  </w:t>
      </w:r>
      <w:r w:rsidRPr="001318F3">
        <w:rPr>
          <w:rFonts w:ascii="Open Sans" w:hAnsi="Open Sans" w:cs="Open Sans"/>
          <w:sz w:val="20"/>
          <w:szCs w:val="20"/>
        </w:rPr>
        <w:t>Nearly 18 million lives were claimed by cardiovascular diseases in 2019</w:t>
      </w:r>
      <w:r>
        <w:rPr>
          <w:rFonts w:ascii="Open Sans" w:hAnsi="Open Sans" w:cs="Open Sans"/>
          <w:sz w:val="20"/>
          <w:szCs w:val="20"/>
        </w:rPr>
        <w:t>; of these, 85% were due to AMI and ischemic stroke</w:t>
      </w:r>
      <w:sdt>
        <w:sdtPr>
          <w:rPr>
            <w:rFonts w:ascii="Open Sans" w:hAnsi="Open Sans" w:cs="Open Sans"/>
            <w:sz w:val="20"/>
            <w:szCs w:val="20"/>
          </w:rPr>
          <w:id w:val="-604732827"/>
          <w:citation/>
        </w:sdtPr>
        <w:sdtEndPr/>
        <w:sdtContent>
          <w:r w:rsidRPr="001318F3">
            <w:rPr>
              <w:rFonts w:ascii="Open Sans" w:hAnsi="Open Sans" w:cs="Open Sans"/>
              <w:sz w:val="20"/>
              <w:szCs w:val="20"/>
            </w:rPr>
            <w:fldChar w:fldCharType="begin"/>
          </w:r>
          <w:r>
            <w:rPr>
              <w:rFonts w:ascii="Open Sans" w:hAnsi="Open Sans" w:cs="Open Sans"/>
              <w:sz w:val="20"/>
              <w:szCs w:val="20"/>
            </w:rPr>
            <w:instrText xml:space="preserve">CITATION Wor \l 1033 </w:instrText>
          </w:r>
          <w:r w:rsidRPr="001318F3">
            <w:rPr>
              <w:rFonts w:ascii="Open Sans" w:hAnsi="Open Sans" w:cs="Open Sans"/>
              <w:sz w:val="20"/>
              <w:szCs w:val="20"/>
            </w:rPr>
            <w:fldChar w:fldCharType="separate"/>
          </w:r>
          <w:r>
            <w:rPr>
              <w:rFonts w:ascii="Open Sans" w:hAnsi="Open Sans" w:cs="Open Sans"/>
              <w:noProof/>
              <w:sz w:val="20"/>
              <w:szCs w:val="20"/>
            </w:rPr>
            <w:t xml:space="preserve"> </w:t>
          </w:r>
          <w:r w:rsidRPr="009D2F1C">
            <w:rPr>
              <w:rFonts w:ascii="Open Sans" w:hAnsi="Open Sans" w:cs="Open Sans"/>
              <w:noProof/>
              <w:sz w:val="20"/>
              <w:szCs w:val="20"/>
            </w:rPr>
            <w:t>(WHO, 2021)</w:t>
          </w:r>
          <w:r w:rsidRPr="001318F3">
            <w:rPr>
              <w:rFonts w:ascii="Open Sans" w:hAnsi="Open Sans" w:cs="Open Sans"/>
              <w:sz w:val="20"/>
              <w:szCs w:val="20"/>
            </w:rPr>
            <w:fldChar w:fldCharType="end"/>
          </w:r>
        </w:sdtContent>
      </w:sdt>
      <w:r>
        <w:rPr>
          <w:rFonts w:ascii="Open Sans" w:hAnsi="Open Sans" w:cs="Open Sans"/>
          <w:sz w:val="20"/>
          <w:szCs w:val="20"/>
        </w:rPr>
        <w:t>.</w:t>
      </w:r>
    </w:p>
    <w:p w14:paraId="54B28206" w14:textId="77777777" w:rsidR="009D2F1C" w:rsidRDefault="005F4697" w:rsidP="00F44ACA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There is a silver lining.  Cardiovascular disease is largely preventable with the proper intervention of public health services.</w:t>
      </w:r>
      <w:r w:rsidR="00CB1A8F">
        <w:rPr>
          <w:rFonts w:ascii="Open Sans" w:hAnsi="Open Sans" w:cs="Open Sans"/>
          <w:sz w:val="20"/>
          <w:szCs w:val="20"/>
        </w:rPr>
        <w:t xml:space="preserve">  Initial treatment of heart failure, hypertension, and AMI have all aided in the steady decline of mortality rates in first-world countries since the 1980s</w:t>
      </w:r>
      <w:sdt>
        <w:sdtPr>
          <w:rPr>
            <w:rFonts w:ascii="Open Sans" w:hAnsi="Open Sans" w:cs="Open Sans"/>
            <w:sz w:val="20"/>
            <w:szCs w:val="20"/>
          </w:rPr>
          <w:id w:val="-1013837469"/>
          <w:citation/>
        </w:sdtPr>
        <w:sdtEndPr/>
        <w:sdtContent>
          <w:r w:rsidR="00CB1A8F">
            <w:rPr>
              <w:rFonts w:ascii="Open Sans" w:hAnsi="Open Sans" w:cs="Open Sans"/>
              <w:sz w:val="20"/>
              <w:szCs w:val="20"/>
            </w:rPr>
            <w:fldChar w:fldCharType="begin"/>
          </w:r>
          <w:r w:rsidR="00CB1A8F">
            <w:rPr>
              <w:rFonts w:ascii="Open Sans" w:hAnsi="Open Sans" w:cs="Open Sans"/>
              <w:sz w:val="20"/>
              <w:szCs w:val="20"/>
            </w:rPr>
            <w:instrText xml:space="preserve"> CITATION Men11 \l 1033 </w:instrText>
          </w:r>
          <w:r w:rsidR="00CB1A8F">
            <w:rPr>
              <w:rFonts w:ascii="Open Sans" w:hAnsi="Open Sans" w:cs="Open Sans"/>
              <w:sz w:val="20"/>
              <w:szCs w:val="20"/>
            </w:rPr>
            <w:fldChar w:fldCharType="separate"/>
          </w:r>
          <w:r w:rsidR="00CB1A8F">
            <w:rPr>
              <w:rFonts w:ascii="Open Sans" w:hAnsi="Open Sans" w:cs="Open Sans"/>
              <w:noProof/>
              <w:sz w:val="20"/>
              <w:szCs w:val="20"/>
            </w:rPr>
            <w:t xml:space="preserve"> </w:t>
          </w:r>
          <w:r w:rsidR="00CB1A8F" w:rsidRPr="00CB1A8F">
            <w:rPr>
              <w:rFonts w:ascii="Open Sans" w:hAnsi="Open Sans" w:cs="Open Sans"/>
              <w:noProof/>
              <w:sz w:val="20"/>
              <w:szCs w:val="20"/>
            </w:rPr>
            <w:t>(Mendis, Puska, &amp; Norrving, 2011)</w:t>
          </w:r>
          <w:r w:rsidR="00CB1A8F">
            <w:rPr>
              <w:rFonts w:ascii="Open Sans" w:hAnsi="Open Sans" w:cs="Open Sans"/>
              <w:sz w:val="20"/>
              <w:szCs w:val="20"/>
            </w:rPr>
            <w:fldChar w:fldCharType="end"/>
          </w:r>
        </w:sdtContent>
      </w:sdt>
      <w:r w:rsidR="00CB1A8F">
        <w:rPr>
          <w:rFonts w:ascii="Open Sans" w:hAnsi="Open Sans" w:cs="Open Sans"/>
          <w:sz w:val="20"/>
          <w:szCs w:val="20"/>
        </w:rPr>
        <w:t xml:space="preserve">.  </w:t>
      </w:r>
    </w:p>
    <w:p w14:paraId="3DD694D1" w14:textId="0A405335" w:rsidR="005F4697" w:rsidRDefault="009D2F1C" w:rsidP="00F44ACA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However, </w:t>
      </w:r>
      <w:r w:rsidRPr="001318F3">
        <w:rPr>
          <w:rFonts w:ascii="Open Sans" w:hAnsi="Open Sans" w:cs="Open Sans"/>
          <w:sz w:val="20"/>
          <w:szCs w:val="20"/>
        </w:rPr>
        <w:t>procuring accurate test results requires careful attention to detail.</w:t>
      </w:r>
      <w:r w:rsidRPr="009D2F1C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1318F3">
        <w:rPr>
          <w:rFonts w:ascii="Open Sans" w:hAnsi="Open Sans" w:cs="Open Sans"/>
          <w:sz w:val="20"/>
          <w:szCs w:val="20"/>
        </w:rPr>
        <w:t>From laboratory instrument monitoring to patient sampling protocols, clinicians and physicians all play a role in making accurate diagnostic decisions.</w:t>
      </w:r>
    </w:p>
    <w:p w14:paraId="3C1310BB" w14:textId="43B75D90" w:rsidR="005D05B3" w:rsidRDefault="005D05B3">
      <w:pPr>
        <w:rPr>
          <w:rFonts w:ascii="Open Sans" w:hAnsi="Open Sans" w:cs="Open Sans"/>
          <w:sz w:val="20"/>
          <w:szCs w:val="20"/>
        </w:rPr>
      </w:pPr>
    </w:p>
    <w:p w14:paraId="6C8D338D" w14:textId="3FEF1B8C" w:rsidR="004B7A29" w:rsidRPr="001318F3" w:rsidRDefault="00516459" w:rsidP="00516459">
      <w:pPr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5300A8B8" wp14:editId="569B5852">
            <wp:extent cx="2639797" cy="1042506"/>
            <wp:effectExtent l="0" t="0" r="8255" b="5715"/>
            <wp:docPr id="8" name="Picture 8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797" cy="104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6524D" w14:textId="5C1AA129" w:rsidR="00515E41" w:rsidRPr="001318F3" w:rsidRDefault="002D0C03">
      <w:pPr>
        <w:rPr>
          <w:rFonts w:ascii="Open Sans Semibold" w:hAnsi="Open Sans Semibold" w:cs="Open Sans Semibold"/>
          <w:b/>
          <w:bCs/>
          <w:i/>
          <w:iCs/>
          <w:sz w:val="20"/>
          <w:szCs w:val="20"/>
        </w:rPr>
      </w:pPr>
      <w:r w:rsidRPr="001318F3">
        <w:rPr>
          <w:rFonts w:ascii="Open Sans Semibold" w:hAnsi="Open Sans Semibold" w:cs="Open Sans Semibold"/>
          <w:b/>
          <w:bCs/>
          <w:i/>
          <w:iCs/>
          <w:sz w:val="20"/>
          <w:szCs w:val="20"/>
        </w:rPr>
        <w:t>The world’s biggest killer</w:t>
      </w:r>
    </w:p>
    <w:p w14:paraId="7985DB9C" w14:textId="1DEE839F" w:rsidR="0069106B" w:rsidRDefault="0069106B" w:rsidP="0069106B">
      <w:pPr>
        <w:rPr>
          <w:rFonts w:ascii="Open Sans" w:hAnsi="Open Sans" w:cs="Open Sans"/>
          <w:sz w:val="20"/>
          <w:szCs w:val="20"/>
        </w:rPr>
      </w:pPr>
      <w:r w:rsidRPr="001318F3">
        <w:rPr>
          <w:rFonts w:ascii="Open Sans" w:hAnsi="Open Sans" w:cs="Open Sans"/>
          <w:sz w:val="20"/>
          <w:szCs w:val="20"/>
        </w:rPr>
        <w:t>In a single year, over 14 million patients present with complaints of ischemic chest pain in the emergency department</w:t>
      </w:r>
      <w:sdt>
        <w:sdtPr>
          <w:rPr>
            <w:rFonts w:ascii="Open Sans" w:hAnsi="Open Sans" w:cs="Open Sans"/>
            <w:sz w:val="20"/>
            <w:szCs w:val="20"/>
          </w:rPr>
          <w:id w:val="477884603"/>
          <w:citation/>
        </w:sdtPr>
        <w:sdtEndPr/>
        <w:sdtContent>
          <w:r w:rsidRPr="001318F3">
            <w:rPr>
              <w:rFonts w:ascii="Open Sans" w:hAnsi="Open Sans" w:cs="Open Sans"/>
              <w:sz w:val="20"/>
              <w:szCs w:val="20"/>
            </w:rPr>
            <w:fldChar w:fldCharType="begin"/>
          </w:r>
          <w:r w:rsidRPr="001318F3">
            <w:rPr>
              <w:rFonts w:ascii="Open Sans" w:hAnsi="Open Sans" w:cs="Open Sans"/>
              <w:sz w:val="20"/>
              <w:szCs w:val="20"/>
            </w:rPr>
            <w:instrText xml:space="preserve">CITATION Sur16 \l 1033 </w:instrText>
          </w:r>
          <w:r w:rsidRPr="001318F3">
            <w:rPr>
              <w:rFonts w:ascii="Open Sans" w:hAnsi="Open Sans" w:cs="Open Sans"/>
              <w:sz w:val="20"/>
              <w:szCs w:val="20"/>
            </w:rPr>
            <w:fldChar w:fldCharType="separate"/>
          </w:r>
          <w:r w:rsidRPr="001318F3">
            <w:rPr>
              <w:rFonts w:ascii="Open Sans" w:hAnsi="Open Sans" w:cs="Open Sans"/>
              <w:noProof/>
              <w:sz w:val="20"/>
              <w:szCs w:val="20"/>
            </w:rPr>
            <w:t xml:space="preserve"> (NCHS, 2018)</w:t>
          </w:r>
          <w:r w:rsidRPr="001318F3">
            <w:rPr>
              <w:rFonts w:ascii="Open Sans" w:hAnsi="Open Sans" w:cs="Open Sans"/>
              <w:sz w:val="20"/>
              <w:szCs w:val="20"/>
            </w:rPr>
            <w:fldChar w:fldCharType="end"/>
          </w:r>
        </w:sdtContent>
      </w:sdt>
      <w:r w:rsidRPr="001318F3">
        <w:rPr>
          <w:rFonts w:ascii="Open Sans" w:hAnsi="Open Sans" w:cs="Open Sans"/>
          <w:sz w:val="20"/>
          <w:szCs w:val="20"/>
        </w:rPr>
        <w:t xml:space="preserve">.  </w:t>
      </w:r>
      <w:r>
        <w:rPr>
          <w:rFonts w:ascii="Open Sans" w:hAnsi="Open Sans" w:cs="Open Sans"/>
          <w:sz w:val="20"/>
          <w:szCs w:val="20"/>
        </w:rPr>
        <w:t>If AMI is misdiagnosed, patients could face costly, time-consuming, and invasive investigations—all of them futile.</w:t>
      </w:r>
    </w:p>
    <w:p w14:paraId="3964C9EF" w14:textId="6098C48A" w:rsidR="00D1761B" w:rsidRPr="001318F3" w:rsidRDefault="00D1761B">
      <w:pPr>
        <w:rPr>
          <w:rFonts w:ascii="Open Sans" w:hAnsi="Open Sans" w:cs="Open Sans"/>
          <w:sz w:val="20"/>
          <w:szCs w:val="20"/>
        </w:rPr>
      </w:pPr>
      <w:r w:rsidRPr="001318F3">
        <w:rPr>
          <w:rFonts w:ascii="Open Sans" w:hAnsi="Open Sans" w:cs="Open Sans"/>
          <w:sz w:val="20"/>
          <w:szCs w:val="20"/>
        </w:rPr>
        <w:lastRenderedPageBreak/>
        <w:t xml:space="preserve">Cardiac </w:t>
      </w:r>
      <w:r w:rsidR="00E946E5">
        <w:rPr>
          <w:rFonts w:ascii="Open Sans" w:hAnsi="Open Sans" w:cs="Open Sans"/>
          <w:sz w:val="20"/>
          <w:szCs w:val="20"/>
        </w:rPr>
        <w:t>bio</w:t>
      </w:r>
      <w:r w:rsidRPr="001318F3">
        <w:rPr>
          <w:rFonts w:ascii="Open Sans" w:hAnsi="Open Sans" w:cs="Open Sans"/>
          <w:sz w:val="20"/>
          <w:szCs w:val="20"/>
        </w:rPr>
        <w:t xml:space="preserve">markers are used to diagnose patients with suspected </w:t>
      </w:r>
      <w:r w:rsidR="00E946E5">
        <w:rPr>
          <w:rFonts w:ascii="Open Sans" w:hAnsi="Open Sans" w:cs="Open Sans"/>
          <w:sz w:val="20"/>
          <w:szCs w:val="20"/>
        </w:rPr>
        <w:t>AMI</w:t>
      </w:r>
      <w:r w:rsidRPr="001318F3">
        <w:rPr>
          <w:rFonts w:ascii="Open Sans" w:hAnsi="Open Sans" w:cs="Open Sans"/>
          <w:sz w:val="20"/>
          <w:szCs w:val="20"/>
        </w:rPr>
        <w:t>.</w:t>
      </w:r>
      <w:r w:rsidR="00E946E5">
        <w:rPr>
          <w:rFonts w:ascii="Open Sans" w:hAnsi="Open Sans" w:cs="Open Sans"/>
          <w:sz w:val="20"/>
          <w:szCs w:val="20"/>
        </w:rPr>
        <w:t xml:space="preserve">  When heart muscles are damaged as a result of a heart attack, the body releases a plethora of cardiac enzymes. </w:t>
      </w:r>
      <w:r w:rsidRPr="001318F3">
        <w:rPr>
          <w:rFonts w:ascii="Open Sans" w:hAnsi="Open Sans" w:cs="Open Sans"/>
          <w:sz w:val="20"/>
          <w:szCs w:val="20"/>
        </w:rPr>
        <w:t xml:space="preserve"> </w:t>
      </w:r>
      <w:r w:rsidR="00E946E5">
        <w:rPr>
          <w:rFonts w:ascii="Open Sans" w:hAnsi="Open Sans" w:cs="Open Sans"/>
          <w:sz w:val="20"/>
          <w:szCs w:val="20"/>
        </w:rPr>
        <w:t>Myoglobin, creatine kinase, and troponin are just a few of the indicators that have historically signaled ischemic events</w:t>
      </w:r>
      <w:sdt>
        <w:sdtPr>
          <w:rPr>
            <w:rFonts w:ascii="Open Sans" w:hAnsi="Open Sans" w:cs="Open Sans"/>
            <w:sz w:val="20"/>
            <w:szCs w:val="20"/>
          </w:rPr>
          <w:id w:val="404961093"/>
          <w:citation/>
        </w:sdtPr>
        <w:sdtEndPr/>
        <w:sdtContent>
          <w:r w:rsidR="0069106B">
            <w:rPr>
              <w:rFonts w:ascii="Open Sans" w:hAnsi="Open Sans" w:cs="Open Sans"/>
              <w:sz w:val="20"/>
              <w:szCs w:val="20"/>
            </w:rPr>
            <w:fldChar w:fldCharType="begin"/>
          </w:r>
          <w:r w:rsidR="00AB4649">
            <w:rPr>
              <w:rFonts w:ascii="Open Sans" w:hAnsi="Open Sans" w:cs="Open Sans"/>
              <w:sz w:val="20"/>
              <w:szCs w:val="20"/>
            </w:rPr>
            <w:instrText xml:space="preserve">CITATION Til11 \l 1033 </w:instrText>
          </w:r>
          <w:r w:rsidR="0069106B">
            <w:rPr>
              <w:rFonts w:ascii="Open Sans" w:hAnsi="Open Sans" w:cs="Open Sans"/>
              <w:sz w:val="20"/>
              <w:szCs w:val="20"/>
            </w:rPr>
            <w:fldChar w:fldCharType="separate"/>
          </w:r>
          <w:r w:rsidR="00AB4649">
            <w:rPr>
              <w:rFonts w:ascii="Open Sans" w:hAnsi="Open Sans" w:cs="Open Sans"/>
              <w:noProof/>
              <w:sz w:val="20"/>
              <w:szCs w:val="20"/>
            </w:rPr>
            <w:t xml:space="preserve"> </w:t>
          </w:r>
          <w:r w:rsidR="00AB4649" w:rsidRPr="00AB4649">
            <w:rPr>
              <w:rFonts w:ascii="Open Sans" w:hAnsi="Open Sans" w:cs="Open Sans"/>
              <w:noProof/>
              <w:sz w:val="20"/>
              <w:szCs w:val="20"/>
            </w:rPr>
            <w:t>(Tilea, Varga, &amp; Serban, 2021)</w:t>
          </w:r>
          <w:r w:rsidR="0069106B">
            <w:rPr>
              <w:rFonts w:ascii="Open Sans" w:hAnsi="Open Sans" w:cs="Open Sans"/>
              <w:sz w:val="20"/>
              <w:szCs w:val="20"/>
            </w:rPr>
            <w:fldChar w:fldCharType="end"/>
          </w:r>
        </w:sdtContent>
      </w:sdt>
      <w:r w:rsidR="00E946E5">
        <w:rPr>
          <w:rFonts w:ascii="Open Sans" w:hAnsi="Open Sans" w:cs="Open Sans"/>
          <w:sz w:val="20"/>
          <w:szCs w:val="20"/>
        </w:rPr>
        <w:t>.</w:t>
      </w:r>
      <w:r w:rsidRPr="001318F3">
        <w:rPr>
          <w:rFonts w:ascii="Open Sans" w:hAnsi="Open Sans" w:cs="Open Sans"/>
          <w:sz w:val="20"/>
          <w:szCs w:val="20"/>
        </w:rPr>
        <w:t xml:space="preserve"> </w:t>
      </w:r>
      <w:r w:rsidR="00E946E5">
        <w:rPr>
          <w:rFonts w:ascii="Open Sans" w:hAnsi="Open Sans" w:cs="Open Sans"/>
          <w:sz w:val="20"/>
          <w:szCs w:val="20"/>
        </w:rPr>
        <w:t xml:space="preserve"> </w:t>
      </w:r>
      <w:r w:rsidR="00D61A34" w:rsidRPr="001318F3">
        <w:rPr>
          <w:rFonts w:ascii="Open Sans" w:hAnsi="Open Sans" w:cs="Open Sans"/>
          <w:sz w:val="20"/>
          <w:szCs w:val="20"/>
        </w:rPr>
        <w:t>The American College of Cardiology</w:t>
      </w:r>
      <w:r w:rsidR="00CE13B7" w:rsidRPr="001318F3">
        <w:rPr>
          <w:rFonts w:ascii="Open Sans" w:hAnsi="Open Sans" w:cs="Open Sans"/>
          <w:sz w:val="20"/>
          <w:szCs w:val="20"/>
        </w:rPr>
        <w:t xml:space="preserve"> (ACC)</w:t>
      </w:r>
      <w:r w:rsidR="00D61A34" w:rsidRPr="001318F3">
        <w:rPr>
          <w:rFonts w:ascii="Open Sans" w:hAnsi="Open Sans" w:cs="Open Sans"/>
          <w:sz w:val="20"/>
          <w:szCs w:val="20"/>
        </w:rPr>
        <w:t xml:space="preserve"> has recommended cardiac troponin for the diagnosis of </w:t>
      </w:r>
      <w:r w:rsidR="00B903B8" w:rsidRPr="001318F3">
        <w:rPr>
          <w:rFonts w:ascii="Open Sans" w:hAnsi="Open Sans" w:cs="Open Sans"/>
          <w:sz w:val="20"/>
          <w:szCs w:val="20"/>
        </w:rPr>
        <w:t>AMI</w:t>
      </w:r>
      <w:r w:rsidR="00D61A34" w:rsidRPr="001318F3">
        <w:rPr>
          <w:rFonts w:ascii="Open Sans" w:hAnsi="Open Sans" w:cs="Open Sans"/>
          <w:sz w:val="20"/>
          <w:szCs w:val="20"/>
        </w:rPr>
        <w:t xml:space="preserve"> due to its superior sensitivity and accuracy</w:t>
      </w:r>
      <w:sdt>
        <w:sdtPr>
          <w:rPr>
            <w:rFonts w:ascii="Open Sans" w:hAnsi="Open Sans" w:cs="Open Sans"/>
            <w:sz w:val="20"/>
            <w:szCs w:val="20"/>
          </w:rPr>
          <w:id w:val="-1939514586"/>
          <w:citation/>
        </w:sdtPr>
        <w:sdtEndPr/>
        <w:sdtContent>
          <w:r w:rsidR="00D61A34" w:rsidRPr="001318F3">
            <w:rPr>
              <w:rFonts w:ascii="Open Sans" w:hAnsi="Open Sans" w:cs="Open Sans"/>
              <w:sz w:val="20"/>
              <w:szCs w:val="20"/>
            </w:rPr>
            <w:fldChar w:fldCharType="begin"/>
          </w:r>
          <w:r w:rsidR="00D61A34" w:rsidRPr="001318F3">
            <w:rPr>
              <w:rFonts w:ascii="Open Sans" w:hAnsi="Open Sans" w:cs="Open Sans"/>
              <w:sz w:val="20"/>
              <w:szCs w:val="20"/>
            </w:rPr>
            <w:instrText xml:space="preserve"> CITATION Don18 \l 1033 </w:instrText>
          </w:r>
          <w:r w:rsidR="00D61A34" w:rsidRPr="001318F3">
            <w:rPr>
              <w:rFonts w:ascii="Open Sans" w:hAnsi="Open Sans" w:cs="Open Sans"/>
              <w:sz w:val="20"/>
              <w:szCs w:val="20"/>
            </w:rPr>
            <w:fldChar w:fldCharType="separate"/>
          </w:r>
          <w:r w:rsidR="00D61A34" w:rsidRPr="001318F3">
            <w:rPr>
              <w:rFonts w:ascii="Open Sans" w:hAnsi="Open Sans" w:cs="Open Sans"/>
              <w:noProof/>
              <w:sz w:val="20"/>
              <w:szCs w:val="20"/>
            </w:rPr>
            <w:t xml:space="preserve"> (Schreiber, 2018)</w:t>
          </w:r>
          <w:r w:rsidR="00D61A34" w:rsidRPr="001318F3">
            <w:rPr>
              <w:rFonts w:ascii="Open Sans" w:hAnsi="Open Sans" w:cs="Open Sans"/>
              <w:sz w:val="20"/>
              <w:szCs w:val="20"/>
            </w:rPr>
            <w:fldChar w:fldCharType="end"/>
          </w:r>
        </w:sdtContent>
      </w:sdt>
      <w:r w:rsidR="00D61A34" w:rsidRPr="001318F3">
        <w:rPr>
          <w:rFonts w:ascii="Open Sans" w:hAnsi="Open Sans" w:cs="Open Sans"/>
          <w:sz w:val="20"/>
          <w:szCs w:val="20"/>
        </w:rPr>
        <w:t>.</w:t>
      </w:r>
    </w:p>
    <w:p w14:paraId="2C0668DD" w14:textId="0CF1B603" w:rsidR="007C13E9" w:rsidRPr="001318F3" w:rsidRDefault="007C13E9">
      <w:pPr>
        <w:rPr>
          <w:rFonts w:ascii="Open Sans" w:hAnsi="Open Sans" w:cs="Open Sans"/>
          <w:sz w:val="20"/>
          <w:szCs w:val="20"/>
        </w:rPr>
      </w:pPr>
    </w:p>
    <w:p w14:paraId="2FE04EC2" w14:textId="45E4AF5F" w:rsidR="007C13E9" w:rsidRPr="001318F3" w:rsidRDefault="007C13E9">
      <w:pPr>
        <w:rPr>
          <w:rFonts w:ascii="Open Sans Semibold" w:hAnsi="Open Sans Semibold" w:cs="Open Sans Semibold"/>
          <w:b/>
          <w:bCs/>
          <w:i/>
          <w:iCs/>
          <w:sz w:val="20"/>
          <w:szCs w:val="20"/>
        </w:rPr>
      </w:pPr>
      <w:r w:rsidRPr="001318F3">
        <w:rPr>
          <w:rFonts w:ascii="Open Sans Semibold" w:hAnsi="Open Sans Semibold" w:cs="Open Sans Semibold"/>
          <w:b/>
          <w:bCs/>
          <w:i/>
          <w:iCs/>
          <w:sz w:val="20"/>
          <w:szCs w:val="20"/>
        </w:rPr>
        <w:t>The advent of high-sensitivity assays</w:t>
      </w:r>
    </w:p>
    <w:p w14:paraId="520CF3C5" w14:textId="00417588" w:rsidR="0099447D" w:rsidRPr="001318F3" w:rsidRDefault="00D61A34" w:rsidP="00D61A34">
      <w:pPr>
        <w:rPr>
          <w:rFonts w:ascii="Open Sans" w:hAnsi="Open Sans" w:cs="Open Sans"/>
          <w:sz w:val="20"/>
          <w:szCs w:val="20"/>
        </w:rPr>
      </w:pPr>
      <w:r w:rsidRPr="001318F3">
        <w:rPr>
          <w:rFonts w:ascii="Open Sans" w:hAnsi="Open Sans" w:cs="Open Sans"/>
          <w:sz w:val="20"/>
          <w:szCs w:val="20"/>
        </w:rPr>
        <w:t>In 19</w:t>
      </w:r>
      <w:r w:rsidR="00D0399F" w:rsidRPr="001318F3">
        <w:rPr>
          <w:rFonts w:ascii="Open Sans" w:hAnsi="Open Sans" w:cs="Open Sans"/>
          <w:sz w:val="20"/>
          <w:szCs w:val="20"/>
        </w:rPr>
        <w:t>89</w:t>
      </w:r>
      <w:r w:rsidRPr="001318F3">
        <w:rPr>
          <w:rFonts w:ascii="Open Sans" w:hAnsi="Open Sans" w:cs="Open Sans"/>
          <w:sz w:val="20"/>
          <w:szCs w:val="20"/>
        </w:rPr>
        <w:t>, the first</w:t>
      </w:r>
      <w:r w:rsidR="003359B9" w:rsidRPr="001318F3">
        <w:rPr>
          <w:rFonts w:ascii="Open Sans" w:hAnsi="Open Sans" w:cs="Open Sans"/>
          <w:sz w:val="20"/>
          <w:szCs w:val="20"/>
        </w:rPr>
        <w:t>-</w:t>
      </w:r>
      <w:r w:rsidR="00D0399F" w:rsidRPr="001318F3">
        <w:rPr>
          <w:rFonts w:ascii="Open Sans" w:hAnsi="Open Sans" w:cs="Open Sans"/>
          <w:sz w:val="20"/>
          <w:szCs w:val="20"/>
        </w:rPr>
        <w:t xml:space="preserve">generation immunoassay </w:t>
      </w:r>
      <w:r w:rsidR="006518BF" w:rsidRPr="001318F3">
        <w:rPr>
          <w:rFonts w:ascii="Open Sans" w:hAnsi="Open Sans" w:cs="Open Sans"/>
          <w:sz w:val="20"/>
          <w:szCs w:val="20"/>
        </w:rPr>
        <w:t>to measure troponin</w:t>
      </w:r>
      <w:r w:rsidRPr="001318F3">
        <w:rPr>
          <w:rFonts w:ascii="Open Sans" w:hAnsi="Open Sans" w:cs="Open Sans"/>
          <w:sz w:val="20"/>
          <w:szCs w:val="20"/>
        </w:rPr>
        <w:t xml:space="preserve"> was introduced.</w:t>
      </w:r>
      <w:r w:rsidR="00D0399F" w:rsidRPr="001318F3">
        <w:rPr>
          <w:rFonts w:ascii="Open Sans" w:hAnsi="Open Sans" w:cs="Open Sans"/>
          <w:sz w:val="20"/>
          <w:szCs w:val="20"/>
        </w:rPr>
        <w:t xml:space="preserve">  Its automatization for clinical use faced two problems:  false positives from </w:t>
      </w:r>
      <w:proofErr w:type="spellStart"/>
      <w:r w:rsidR="00D0399F" w:rsidRPr="001318F3">
        <w:rPr>
          <w:rFonts w:ascii="Open Sans" w:hAnsi="Open Sans" w:cs="Open Sans"/>
          <w:sz w:val="20"/>
          <w:szCs w:val="20"/>
        </w:rPr>
        <w:t>nonspecificity</w:t>
      </w:r>
      <w:proofErr w:type="spellEnd"/>
      <w:r w:rsidR="0099447D" w:rsidRPr="001318F3">
        <w:rPr>
          <w:rFonts w:ascii="Open Sans" w:hAnsi="Open Sans" w:cs="Open Sans"/>
          <w:sz w:val="20"/>
          <w:szCs w:val="20"/>
        </w:rPr>
        <w:t>,</w:t>
      </w:r>
      <w:r w:rsidR="00D0399F" w:rsidRPr="001318F3">
        <w:rPr>
          <w:rFonts w:ascii="Open Sans" w:hAnsi="Open Sans" w:cs="Open Sans"/>
          <w:sz w:val="20"/>
          <w:szCs w:val="20"/>
        </w:rPr>
        <w:t xml:space="preserve"> </w:t>
      </w:r>
      <w:r w:rsidR="0099447D" w:rsidRPr="001318F3">
        <w:rPr>
          <w:rFonts w:ascii="Open Sans" w:hAnsi="Open Sans" w:cs="Open Sans"/>
          <w:sz w:val="20"/>
          <w:szCs w:val="20"/>
        </w:rPr>
        <w:t>plus</w:t>
      </w:r>
      <w:r w:rsidR="00D0399F" w:rsidRPr="001318F3">
        <w:rPr>
          <w:rFonts w:ascii="Open Sans" w:hAnsi="Open Sans" w:cs="Open Sans"/>
          <w:sz w:val="20"/>
          <w:szCs w:val="20"/>
        </w:rPr>
        <w:t xml:space="preserve"> long turnaround</w:t>
      </w:r>
      <w:r w:rsidR="003359B9" w:rsidRPr="001318F3">
        <w:rPr>
          <w:rFonts w:ascii="Open Sans" w:hAnsi="Open Sans" w:cs="Open Sans"/>
          <w:sz w:val="20"/>
          <w:szCs w:val="20"/>
        </w:rPr>
        <w:t xml:space="preserve">s </w:t>
      </w:r>
      <w:r w:rsidR="0099447D" w:rsidRPr="001318F3">
        <w:rPr>
          <w:rFonts w:ascii="Open Sans" w:hAnsi="Open Sans" w:cs="Open Sans"/>
          <w:sz w:val="20"/>
          <w:szCs w:val="20"/>
        </w:rPr>
        <w:t xml:space="preserve">that lasted </w:t>
      </w:r>
      <w:r w:rsidR="00D0399F" w:rsidRPr="001318F3">
        <w:rPr>
          <w:rFonts w:ascii="Open Sans" w:hAnsi="Open Sans" w:cs="Open Sans"/>
          <w:sz w:val="20"/>
          <w:szCs w:val="20"/>
        </w:rPr>
        <w:t>up to 90 minutes</w:t>
      </w:r>
      <w:sdt>
        <w:sdtPr>
          <w:rPr>
            <w:rFonts w:ascii="Open Sans" w:hAnsi="Open Sans" w:cs="Open Sans"/>
            <w:sz w:val="20"/>
            <w:szCs w:val="20"/>
          </w:rPr>
          <w:id w:val="1254477041"/>
          <w:citation/>
        </w:sdtPr>
        <w:sdtEndPr/>
        <w:sdtContent>
          <w:r w:rsidR="0099447D" w:rsidRPr="001318F3">
            <w:rPr>
              <w:rFonts w:ascii="Open Sans" w:hAnsi="Open Sans" w:cs="Open Sans"/>
              <w:sz w:val="20"/>
              <w:szCs w:val="20"/>
            </w:rPr>
            <w:fldChar w:fldCharType="begin"/>
          </w:r>
          <w:r w:rsidR="004B7FE5" w:rsidRPr="001318F3">
            <w:rPr>
              <w:rFonts w:ascii="Open Sans" w:hAnsi="Open Sans" w:cs="Open Sans"/>
              <w:sz w:val="20"/>
              <w:szCs w:val="20"/>
            </w:rPr>
            <w:instrText xml:space="preserve">CITATION Oli18 \l 1033 </w:instrText>
          </w:r>
          <w:r w:rsidR="0099447D" w:rsidRPr="001318F3">
            <w:rPr>
              <w:rFonts w:ascii="Open Sans" w:hAnsi="Open Sans" w:cs="Open Sans"/>
              <w:sz w:val="20"/>
              <w:szCs w:val="20"/>
            </w:rPr>
            <w:fldChar w:fldCharType="separate"/>
          </w:r>
          <w:r w:rsidR="004B7FE5" w:rsidRPr="001318F3">
            <w:rPr>
              <w:rFonts w:ascii="Open Sans" w:hAnsi="Open Sans" w:cs="Open Sans"/>
              <w:noProof/>
              <w:sz w:val="20"/>
              <w:szCs w:val="20"/>
            </w:rPr>
            <w:t xml:space="preserve"> (Oliveira, Glasgow, &amp; al., 2018)</w:t>
          </w:r>
          <w:r w:rsidR="0099447D" w:rsidRPr="001318F3">
            <w:rPr>
              <w:rFonts w:ascii="Open Sans" w:hAnsi="Open Sans" w:cs="Open Sans"/>
              <w:sz w:val="20"/>
              <w:szCs w:val="20"/>
            </w:rPr>
            <w:fldChar w:fldCharType="end"/>
          </w:r>
        </w:sdtContent>
      </w:sdt>
      <w:r w:rsidR="00D0399F" w:rsidRPr="001318F3">
        <w:rPr>
          <w:rFonts w:ascii="Open Sans" w:hAnsi="Open Sans" w:cs="Open Sans"/>
          <w:sz w:val="20"/>
          <w:szCs w:val="20"/>
        </w:rPr>
        <w:t>.</w:t>
      </w:r>
      <w:r w:rsidRPr="001318F3">
        <w:rPr>
          <w:rFonts w:ascii="Open Sans" w:hAnsi="Open Sans" w:cs="Open Sans"/>
          <w:sz w:val="20"/>
          <w:szCs w:val="20"/>
        </w:rPr>
        <w:t xml:space="preserve">  </w:t>
      </w:r>
    </w:p>
    <w:p w14:paraId="1B05FB1A" w14:textId="6FE71FD1" w:rsidR="00D61A34" w:rsidRPr="001318F3" w:rsidRDefault="00D61A34" w:rsidP="00D61A34">
      <w:pPr>
        <w:rPr>
          <w:rFonts w:ascii="Open Sans" w:hAnsi="Open Sans" w:cs="Open Sans"/>
          <w:sz w:val="20"/>
          <w:szCs w:val="20"/>
        </w:rPr>
      </w:pPr>
      <w:r w:rsidRPr="001318F3">
        <w:rPr>
          <w:rFonts w:ascii="Open Sans" w:hAnsi="Open Sans" w:cs="Open Sans"/>
          <w:sz w:val="20"/>
          <w:szCs w:val="20"/>
        </w:rPr>
        <w:t xml:space="preserve">As time progressed, troponin assays became </w:t>
      </w:r>
      <w:r w:rsidR="00D4218D" w:rsidRPr="001318F3">
        <w:rPr>
          <w:rFonts w:ascii="Open Sans" w:hAnsi="Open Sans" w:cs="Open Sans"/>
          <w:sz w:val="20"/>
          <w:szCs w:val="20"/>
        </w:rPr>
        <w:t xml:space="preserve">increasingly </w:t>
      </w:r>
      <w:r w:rsidR="007D2284">
        <w:rPr>
          <w:rFonts w:ascii="Open Sans" w:hAnsi="Open Sans" w:cs="Open Sans"/>
          <w:sz w:val="20"/>
          <w:szCs w:val="20"/>
        </w:rPr>
        <w:t xml:space="preserve">rapid and </w:t>
      </w:r>
      <w:r w:rsidR="00D4218D" w:rsidRPr="001318F3">
        <w:rPr>
          <w:rFonts w:ascii="Open Sans" w:hAnsi="Open Sans" w:cs="Open Sans"/>
          <w:sz w:val="20"/>
          <w:szCs w:val="20"/>
        </w:rPr>
        <w:t>sensitive.  Today’s</w:t>
      </w:r>
      <w:r w:rsidR="0099447D" w:rsidRPr="001318F3">
        <w:rPr>
          <w:rFonts w:ascii="Open Sans" w:hAnsi="Open Sans" w:cs="Open Sans"/>
          <w:sz w:val="20"/>
          <w:szCs w:val="20"/>
        </w:rPr>
        <w:t xml:space="preserve"> fifth-generation assays emphasize the clinical role of </w:t>
      </w:r>
      <w:r w:rsidR="006518BF" w:rsidRPr="001318F3">
        <w:rPr>
          <w:rFonts w:ascii="Open Sans" w:hAnsi="Open Sans" w:cs="Open Sans"/>
          <w:sz w:val="20"/>
          <w:szCs w:val="20"/>
        </w:rPr>
        <w:t xml:space="preserve">cardiac </w:t>
      </w:r>
      <w:r w:rsidR="0099447D" w:rsidRPr="001318F3">
        <w:rPr>
          <w:rFonts w:ascii="Open Sans" w:hAnsi="Open Sans" w:cs="Open Sans"/>
          <w:sz w:val="20"/>
          <w:szCs w:val="20"/>
        </w:rPr>
        <w:t>troponin.  These</w:t>
      </w:r>
      <w:r w:rsidR="00D4218D" w:rsidRPr="001318F3">
        <w:rPr>
          <w:rFonts w:ascii="Open Sans" w:hAnsi="Open Sans" w:cs="Open Sans"/>
          <w:sz w:val="20"/>
          <w:szCs w:val="20"/>
        </w:rPr>
        <w:t xml:space="preserve"> high-sensitivity troponin assays promise more accurate, rapid evaluation of patients for fewer misclassifications and safer discharges.</w:t>
      </w:r>
    </w:p>
    <w:p w14:paraId="57DD1145" w14:textId="589DABD5" w:rsidR="006518BF" w:rsidRDefault="006518BF" w:rsidP="00D61A34">
      <w:pPr>
        <w:rPr>
          <w:rFonts w:ascii="Open Sans" w:hAnsi="Open Sans" w:cs="Open Sans"/>
          <w:sz w:val="20"/>
          <w:szCs w:val="20"/>
        </w:rPr>
      </w:pPr>
    </w:p>
    <w:p w14:paraId="33D6009E" w14:textId="6E70EA56" w:rsidR="00246311" w:rsidRPr="001318F3" w:rsidRDefault="00163BA5" w:rsidP="00D61A34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7CDAD58E" wp14:editId="1D8240FE">
            <wp:extent cx="3407959" cy="2639797"/>
            <wp:effectExtent l="0" t="0" r="2540" b="825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959" cy="263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51247" w14:textId="346887EB" w:rsidR="006518BF" w:rsidRPr="001318F3" w:rsidRDefault="007B479E" w:rsidP="00D61A34">
      <w:pPr>
        <w:rPr>
          <w:rFonts w:ascii="Open Sans Semibold" w:hAnsi="Open Sans Semibold" w:cs="Open Sans Semibold"/>
          <w:b/>
          <w:bCs/>
          <w:i/>
          <w:iCs/>
          <w:sz w:val="20"/>
          <w:szCs w:val="20"/>
        </w:rPr>
      </w:pPr>
      <w:r w:rsidRPr="001318F3">
        <w:rPr>
          <w:rFonts w:ascii="Open Sans Semibold" w:hAnsi="Open Sans Semibold" w:cs="Open Sans Semibold"/>
          <w:b/>
          <w:bCs/>
          <w:i/>
          <w:iCs/>
          <w:sz w:val="20"/>
          <w:szCs w:val="20"/>
        </w:rPr>
        <w:t>The challenges of implementation</w:t>
      </w:r>
    </w:p>
    <w:p w14:paraId="2D349A87" w14:textId="34724F1E" w:rsidR="00D119E3" w:rsidRPr="001318F3" w:rsidRDefault="006D241C" w:rsidP="00D61A34">
      <w:pPr>
        <w:rPr>
          <w:rFonts w:ascii="Open Sans" w:hAnsi="Open Sans" w:cs="Open Sans"/>
          <w:sz w:val="20"/>
          <w:szCs w:val="20"/>
        </w:rPr>
      </w:pPr>
      <w:r w:rsidRPr="001318F3">
        <w:rPr>
          <w:rFonts w:ascii="Open Sans" w:hAnsi="Open Sans" w:cs="Open Sans"/>
          <w:sz w:val="20"/>
          <w:szCs w:val="20"/>
        </w:rPr>
        <w:t>This improvement in sensitivity does come at a cost.  The analytic imprecision of an assay, or coefficient of variation</w:t>
      </w:r>
      <w:r w:rsidR="00CE13B7" w:rsidRPr="001318F3">
        <w:rPr>
          <w:rFonts w:ascii="Open Sans" w:hAnsi="Open Sans" w:cs="Open Sans"/>
          <w:sz w:val="20"/>
          <w:szCs w:val="20"/>
        </w:rPr>
        <w:t xml:space="preserve"> (CV)</w:t>
      </w:r>
      <w:r w:rsidRPr="001318F3">
        <w:rPr>
          <w:rFonts w:ascii="Open Sans" w:hAnsi="Open Sans" w:cs="Open Sans"/>
          <w:sz w:val="20"/>
          <w:szCs w:val="20"/>
        </w:rPr>
        <w:t>, typically increases with decreasing analyte concentration.</w:t>
      </w:r>
      <w:r w:rsidR="00265A3C" w:rsidRPr="001318F3">
        <w:rPr>
          <w:rFonts w:ascii="Open Sans" w:hAnsi="Open Sans" w:cs="Open Sans"/>
          <w:sz w:val="20"/>
          <w:szCs w:val="20"/>
        </w:rPr>
        <w:t xml:space="preserve">  </w:t>
      </w:r>
      <w:r w:rsidR="00D119E3" w:rsidRPr="001318F3">
        <w:rPr>
          <w:rFonts w:ascii="Open Sans" w:hAnsi="Open Sans" w:cs="Open Sans"/>
          <w:sz w:val="20"/>
          <w:szCs w:val="20"/>
        </w:rPr>
        <w:t xml:space="preserve">Ideally, </w:t>
      </w:r>
      <w:r w:rsidR="00CE13B7" w:rsidRPr="001318F3">
        <w:rPr>
          <w:rFonts w:ascii="Open Sans" w:hAnsi="Open Sans" w:cs="Open Sans"/>
          <w:sz w:val="20"/>
          <w:szCs w:val="20"/>
        </w:rPr>
        <w:t xml:space="preserve">the </w:t>
      </w:r>
      <w:r w:rsidR="00D119E3" w:rsidRPr="001318F3">
        <w:rPr>
          <w:rFonts w:ascii="Open Sans" w:hAnsi="Open Sans" w:cs="Open Sans"/>
          <w:sz w:val="20"/>
          <w:szCs w:val="20"/>
        </w:rPr>
        <w:t xml:space="preserve">clinical </w:t>
      </w:r>
      <w:r w:rsidR="00CE13B7" w:rsidRPr="001318F3">
        <w:rPr>
          <w:rFonts w:ascii="Open Sans" w:hAnsi="Open Sans" w:cs="Open Sans"/>
          <w:sz w:val="20"/>
          <w:szCs w:val="20"/>
        </w:rPr>
        <w:t>assays used to measure troponin should have a CV below 10% at the relevant level</w:t>
      </w:r>
      <w:sdt>
        <w:sdtPr>
          <w:rPr>
            <w:rFonts w:ascii="Open Sans" w:hAnsi="Open Sans" w:cs="Open Sans"/>
            <w:sz w:val="20"/>
            <w:szCs w:val="20"/>
          </w:rPr>
          <w:id w:val="1573548942"/>
          <w:citation/>
        </w:sdtPr>
        <w:sdtEndPr/>
        <w:sdtContent>
          <w:r w:rsidR="00CE13B7" w:rsidRPr="001318F3">
            <w:rPr>
              <w:rFonts w:ascii="Open Sans" w:hAnsi="Open Sans" w:cs="Open Sans"/>
              <w:sz w:val="20"/>
              <w:szCs w:val="20"/>
            </w:rPr>
            <w:fldChar w:fldCharType="begin"/>
          </w:r>
          <w:r w:rsidR="00CE13B7" w:rsidRPr="001318F3">
            <w:rPr>
              <w:rFonts w:ascii="Open Sans" w:hAnsi="Open Sans" w:cs="Open Sans"/>
              <w:sz w:val="20"/>
              <w:szCs w:val="20"/>
            </w:rPr>
            <w:instrText xml:space="preserve"> CITATION Don18 \l 1033 </w:instrText>
          </w:r>
          <w:r w:rsidR="00CE13B7" w:rsidRPr="001318F3">
            <w:rPr>
              <w:rFonts w:ascii="Open Sans" w:hAnsi="Open Sans" w:cs="Open Sans"/>
              <w:sz w:val="20"/>
              <w:szCs w:val="20"/>
            </w:rPr>
            <w:fldChar w:fldCharType="separate"/>
          </w:r>
          <w:r w:rsidR="00CE13B7" w:rsidRPr="001318F3">
            <w:rPr>
              <w:rFonts w:ascii="Open Sans" w:hAnsi="Open Sans" w:cs="Open Sans"/>
              <w:noProof/>
              <w:sz w:val="20"/>
              <w:szCs w:val="20"/>
            </w:rPr>
            <w:t xml:space="preserve"> (Schreiber, 2018)</w:t>
          </w:r>
          <w:r w:rsidR="00CE13B7" w:rsidRPr="001318F3">
            <w:rPr>
              <w:rFonts w:ascii="Open Sans" w:hAnsi="Open Sans" w:cs="Open Sans"/>
              <w:sz w:val="20"/>
              <w:szCs w:val="20"/>
            </w:rPr>
            <w:fldChar w:fldCharType="end"/>
          </w:r>
        </w:sdtContent>
      </w:sdt>
      <w:r w:rsidR="00CE13B7" w:rsidRPr="001318F3">
        <w:rPr>
          <w:rFonts w:ascii="Open Sans" w:hAnsi="Open Sans" w:cs="Open Sans"/>
          <w:sz w:val="20"/>
          <w:szCs w:val="20"/>
        </w:rPr>
        <w:t xml:space="preserve">.  </w:t>
      </w:r>
    </w:p>
    <w:p w14:paraId="2051EFCB" w14:textId="7BEE298B" w:rsidR="00CE13B7" w:rsidRPr="001318F3" w:rsidRDefault="00CE13B7" w:rsidP="00D61A34">
      <w:pPr>
        <w:rPr>
          <w:rFonts w:ascii="Open Sans" w:hAnsi="Open Sans" w:cs="Open Sans"/>
          <w:sz w:val="20"/>
          <w:szCs w:val="20"/>
        </w:rPr>
      </w:pPr>
      <w:r w:rsidRPr="001318F3">
        <w:rPr>
          <w:rFonts w:ascii="Open Sans" w:hAnsi="Open Sans" w:cs="Open Sans"/>
          <w:sz w:val="20"/>
          <w:szCs w:val="20"/>
        </w:rPr>
        <w:t>Defining those levels is a problem unto itself.  The European Society of Cardiology</w:t>
      </w:r>
      <w:r w:rsidR="005204E3" w:rsidRPr="001318F3">
        <w:rPr>
          <w:rFonts w:ascii="Open Sans" w:hAnsi="Open Sans" w:cs="Open Sans"/>
          <w:sz w:val="20"/>
          <w:szCs w:val="20"/>
        </w:rPr>
        <w:t xml:space="preserve"> (ESC)</w:t>
      </w:r>
      <w:r w:rsidRPr="001318F3">
        <w:rPr>
          <w:rFonts w:ascii="Open Sans" w:hAnsi="Open Sans" w:cs="Open Sans"/>
          <w:sz w:val="20"/>
          <w:szCs w:val="20"/>
        </w:rPr>
        <w:t xml:space="preserve"> and the ACC</w:t>
      </w:r>
      <w:r w:rsidR="001318F3">
        <w:rPr>
          <w:rFonts w:ascii="Open Sans" w:hAnsi="Open Sans" w:cs="Open Sans"/>
          <w:sz w:val="20"/>
          <w:szCs w:val="20"/>
        </w:rPr>
        <w:t xml:space="preserve"> have</w:t>
      </w:r>
      <w:r w:rsidR="005204E3" w:rsidRPr="001318F3">
        <w:rPr>
          <w:rFonts w:ascii="Open Sans" w:hAnsi="Open Sans" w:cs="Open Sans"/>
          <w:sz w:val="20"/>
          <w:szCs w:val="20"/>
        </w:rPr>
        <w:t xml:space="preserve"> recommended that a positive, high-risk troponin result be above the 99</w:t>
      </w:r>
      <w:r w:rsidR="005204E3" w:rsidRPr="001318F3">
        <w:rPr>
          <w:rFonts w:ascii="Open Sans" w:hAnsi="Open Sans" w:cs="Open Sans"/>
          <w:sz w:val="20"/>
          <w:szCs w:val="20"/>
          <w:vertAlign w:val="superscript"/>
        </w:rPr>
        <w:t>th</w:t>
      </w:r>
      <w:r w:rsidR="005204E3" w:rsidRPr="001318F3">
        <w:rPr>
          <w:rFonts w:ascii="Open Sans" w:hAnsi="Open Sans" w:cs="Open Sans"/>
          <w:sz w:val="20"/>
          <w:szCs w:val="20"/>
        </w:rPr>
        <w:t xml:space="preserve"> percentile for a healthy patient population</w:t>
      </w:r>
      <w:sdt>
        <w:sdtPr>
          <w:rPr>
            <w:rFonts w:ascii="Open Sans" w:hAnsi="Open Sans" w:cs="Open Sans"/>
            <w:sz w:val="20"/>
            <w:szCs w:val="20"/>
          </w:rPr>
          <w:id w:val="107932097"/>
          <w:citation/>
        </w:sdtPr>
        <w:sdtEndPr/>
        <w:sdtContent>
          <w:r w:rsidR="005204E3" w:rsidRPr="001318F3">
            <w:rPr>
              <w:rFonts w:ascii="Open Sans" w:hAnsi="Open Sans" w:cs="Open Sans"/>
              <w:sz w:val="20"/>
              <w:szCs w:val="20"/>
            </w:rPr>
            <w:fldChar w:fldCharType="begin"/>
          </w:r>
          <w:r w:rsidR="00BA0B61">
            <w:rPr>
              <w:rFonts w:ascii="Open Sans" w:hAnsi="Open Sans" w:cs="Open Sans"/>
              <w:sz w:val="20"/>
              <w:szCs w:val="20"/>
            </w:rPr>
            <w:instrText xml:space="preserve">CITATION ESC00 \l 1033 </w:instrText>
          </w:r>
          <w:r w:rsidR="005204E3" w:rsidRPr="001318F3">
            <w:rPr>
              <w:rFonts w:ascii="Open Sans" w:hAnsi="Open Sans" w:cs="Open Sans"/>
              <w:sz w:val="20"/>
              <w:szCs w:val="20"/>
            </w:rPr>
            <w:fldChar w:fldCharType="separate"/>
          </w:r>
          <w:r w:rsidR="00BA0B61">
            <w:rPr>
              <w:rFonts w:ascii="Open Sans" w:hAnsi="Open Sans" w:cs="Open Sans"/>
              <w:noProof/>
              <w:sz w:val="20"/>
              <w:szCs w:val="20"/>
            </w:rPr>
            <w:t xml:space="preserve"> </w:t>
          </w:r>
          <w:r w:rsidR="00BA0B61" w:rsidRPr="00BA0B61">
            <w:rPr>
              <w:rFonts w:ascii="Open Sans" w:hAnsi="Open Sans" w:cs="Open Sans"/>
              <w:noProof/>
              <w:sz w:val="20"/>
              <w:szCs w:val="20"/>
            </w:rPr>
            <w:t>(ESC, 2000)</w:t>
          </w:r>
          <w:r w:rsidR="005204E3" w:rsidRPr="001318F3">
            <w:rPr>
              <w:rFonts w:ascii="Open Sans" w:hAnsi="Open Sans" w:cs="Open Sans"/>
              <w:sz w:val="20"/>
              <w:szCs w:val="20"/>
            </w:rPr>
            <w:fldChar w:fldCharType="end"/>
          </w:r>
        </w:sdtContent>
      </w:sdt>
      <w:r w:rsidR="005204E3" w:rsidRPr="001318F3">
        <w:rPr>
          <w:rFonts w:ascii="Open Sans" w:hAnsi="Open Sans" w:cs="Open Sans"/>
          <w:sz w:val="20"/>
          <w:szCs w:val="20"/>
        </w:rPr>
        <w:t xml:space="preserve">.  But this range may not capture patients with slightly lower </w:t>
      </w:r>
      <w:r w:rsidR="005204E3" w:rsidRPr="001318F3">
        <w:rPr>
          <w:rFonts w:ascii="Open Sans" w:hAnsi="Open Sans" w:cs="Open Sans"/>
          <w:sz w:val="20"/>
          <w:szCs w:val="20"/>
        </w:rPr>
        <w:lastRenderedPageBreak/>
        <w:t>levels who still exhibit an elevated cardiac risk.</w:t>
      </w:r>
      <w:r w:rsidR="00B903B8" w:rsidRPr="001318F3">
        <w:rPr>
          <w:rFonts w:ascii="Open Sans" w:hAnsi="Open Sans" w:cs="Open Sans"/>
          <w:sz w:val="20"/>
          <w:szCs w:val="20"/>
        </w:rPr>
        <w:t xml:space="preserve">  Even worse, most </w:t>
      </w:r>
      <w:r w:rsidR="00A706D8" w:rsidRPr="001318F3">
        <w:rPr>
          <w:rFonts w:ascii="Open Sans" w:hAnsi="Open Sans" w:cs="Open Sans"/>
          <w:sz w:val="20"/>
          <w:szCs w:val="20"/>
        </w:rPr>
        <w:t>troponin</w:t>
      </w:r>
      <w:r w:rsidR="00B903B8" w:rsidRPr="001318F3">
        <w:rPr>
          <w:rFonts w:ascii="Open Sans" w:hAnsi="Open Sans" w:cs="Open Sans"/>
          <w:sz w:val="20"/>
          <w:szCs w:val="20"/>
        </w:rPr>
        <w:t xml:space="preserve"> assays are imprecise at this reference limit.</w:t>
      </w:r>
    </w:p>
    <w:p w14:paraId="38426EE7" w14:textId="67A5660A" w:rsidR="007C13E9" w:rsidRPr="001318F3" w:rsidRDefault="007C13E9" w:rsidP="00D61A34">
      <w:pPr>
        <w:rPr>
          <w:rFonts w:ascii="Open Sans" w:hAnsi="Open Sans" w:cs="Open Sans"/>
          <w:sz w:val="20"/>
          <w:szCs w:val="20"/>
        </w:rPr>
      </w:pPr>
    </w:p>
    <w:p w14:paraId="4F486A78" w14:textId="7D9B06B0" w:rsidR="007C13E9" w:rsidRPr="001318F3" w:rsidRDefault="007C13E9" w:rsidP="00D61A34">
      <w:pPr>
        <w:rPr>
          <w:rFonts w:ascii="Open Sans Semibold" w:hAnsi="Open Sans Semibold" w:cs="Open Sans Semibold"/>
          <w:b/>
          <w:bCs/>
          <w:i/>
          <w:iCs/>
          <w:sz w:val="20"/>
          <w:szCs w:val="20"/>
        </w:rPr>
      </w:pPr>
      <w:r w:rsidRPr="001318F3">
        <w:rPr>
          <w:rFonts w:ascii="Open Sans Semibold" w:hAnsi="Open Sans Semibold" w:cs="Open Sans Semibold"/>
          <w:b/>
          <w:bCs/>
          <w:i/>
          <w:iCs/>
          <w:sz w:val="20"/>
          <w:szCs w:val="20"/>
        </w:rPr>
        <w:t>Cutting-edge techniques to determine cutoffs</w:t>
      </w:r>
    </w:p>
    <w:p w14:paraId="57BB7857" w14:textId="7FC24355" w:rsidR="00693D54" w:rsidRPr="001318F3" w:rsidRDefault="005204E3" w:rsidP="00D61A34">
      <w:pPr>
        <w:rPr>
          <w:rFonts w:ascii="Open Sans" w:hAnsi="Open Sans" w:cs="Open Sans"/>
          <w:sz w:val="20"/>
          <w:szCs w:val="20"/>
        </w:rPr>
      </w:pPr>
      <w:r w:rsidRPr="001318F3">
        <w:rPr>
          <w:rFonts w:ascii="Open Sans" w:hAnsi="Open Sans" w:cs="Open Sans"/>
          <w:sz w:val="20"/>
          <w:szCs w:val="20"/>
        </w:rPr>
        <w:t xml:space="preserve">How can clinical labs improve </w:t>
      </w:r>
      <w:r w:rsidR="00EF64B9" w:rsidRPr="001318F3">
        <w:rPr>
          <w:rFonts w:ascii="Open Sans" w:hAnsi="Open Sans" w:cs="Open Sans"/>
          <w:sz w:val="20"/>
          <w:szCs w:val="20"/>
        </w:rPr>
        <w:t xml:space="preserve">the </w:t>
      </w:r>
      <w:r w:rsidRPr="001318F3">
        <w:rPr>
          <w:rFonts w:ascii="Open Sans" w:hAnsi="Open Sans" w:cs="Open Sans"/>
          <w:sz w:val="20"/>
          <w:szCs w:val="20"/>
        </w:rPr>
        <w:t>diagnostic accuracy</w:t>
      </w:r>
      <w:r w:rsidR="00B903B8" w:rsidRPr="001318F3">
        <w:rPr>
          <w:rFonts w:ascii="Open Sans" w:hAnsi="Open Sans" w:cs="Open Sans"/>
          <w:sz w:val="20"/>
          <w:szCs w:val="20"/>
        </w:rPr>
        <w:t xml:space="preserve"> </w:t>
      </w:r>
      <w:r w:rsidR="00623D4A" w:rsidRPr="001318F3">
        <w:rPr>
          <w:rFonts w:ascii="Open Sans" w:hAnsi="Open Sans" w:cs="Open Sans"/>
          <w:sz w:val="20"/>
          <w:szCs w:val="20"/>
        </w:rPr>
        <w:t>of</w:t>
      </w:r>
      <w:r w:rsidR="00B903B8" w:rsidRPr="001318F3">
        <w:rPr>
          <w:rFonts w:ascii="Open Sans" w:hAnsi="Open Sans" w:cs="Open Sans"/>
          <w:sz w:val="20"/>
          <w:szCs w:val="20"/>
        </w:rPr>
        <w:t xml:space="preserve"> </w:t>
      </w:r>
      <w:r w:rsidR="00623D4A" w:rsidRPr="001318F3">
        <w:rPr>
          <w:rFonts w:ascii="Open Sans" w:hAnsi="Open Sans" w:cs="Open Sans"/>
          <w:sz w:val="20"/>
          <w:szCs w:val="20"/>
        </w:rPr>
        <w:t>A</w:t>
      </w:r>
      <w:r w:rsidR="00B903B8" w:rsidRPr="001318F3">
        <w:rPr>
          <w:rFonts w:ascii="Open Sans" w:hAnsi="Open Sans" w:cs="Open Sans"/>
          <w:sz w:val="20"/>
          <w:szCs w:val="20"/>
        </w:rPr>
        <w:t>MI?</w:t>
      </w:r>
      <w:r w:rsidR="00623D4A" w:rsidRPr="001318F3">
        <w:rPr>
          <w:rFonts w:ascii="Open Sans" w:hAnsi="Open Sans" w:cs="Open Sans"/>
          <w:sz w:val="20"/>
          <w:szCs w:val="20"/>
        </w:rPr>
        <w:t xml:space="preserve">  </w:t>
      </w:r>
      <w:r w:rsidR="009B2061" w:rsidRPr="001318F3">
        <w:rPr>
          <w:rFonts w:ascii="Open Sans" w:hAnsi="Open Sans" w:cs="Open Sans"/>
          <w:sz w:val="20"/>
          <w:szCs w:val="20"/>
        </w:rPr>
        <w:t xml:space="preserve">One key factor is recognizing that the </w:t>
      </w:r>
      <w:r w:rsidR="00EF64B9" w:rsidRPr="001318F3">
        <w:rPr>
          <w:rFonts w:ascii="Open Sans" w:hAnsi="Open Sans" w:cs="Open Sans"/>
          <w:sz w:val="20"/>
          <w:szCs w:val="20"/>
        </w:rPr>
        <w:t xml:space="preserve">observed </w:t>
      </w:r>
      <w:r w:rsidR="009B2061" w:rsidRPr="001318F3">
        <w:rPr>
          <w:rFonts w:ascii="Open Sans" w:hAnsi="Open Sans" w:cs="Open Sans"/>
          <w:sz w:val="20"/>
          <w:szCs w:val="20"/>
        </w:rPr>
        <w:t xml:space="preserve">cutoff </w:t>
      </w:r>
      <w:r w:rsidR="00EF64B9" w:rsidRPr="001318F3">
        <w:rPr>
          <w:rFonts w:ascii="Open Sans" w:hAnsi="Open Sans" w:cs="Open Sans"/>
          <w:sz w:val="20"/>
          <w:szCs w:val="20"/>
        </w:rPr>
        <w:t>of</w:t>
      </w:r>
      <w:r w:rsidR="009B2061" w:rsidRPr="001318F3">
        <w:rPr>
          <w:rFonts w:ascii="Open Sans" w:hAnsi="Open Sans" w:cs="Open Sans"/>
          <w:sz w:val="20"/>
          <w:szCs w:val="20"/>
        </w:rPr>
        <w:t xml:space="preserve"> a 10% </w:t>
      </w:r>
      <w:r w:rsidR="00EF64B9" w:rsidRPr="001318F3">
        <w:rPr>
          <w:rFonts w:ascii="Open Sans" w:hAnsi="Open Sans" w:cs="Open Sans"/>
          <w:sz w:val="20"/>
          <w:szCs w:val="20"/>
        </w:rPr>
        <w:t>CV</w:t>
      </w:r>
      <w:r w:rsidR="009B2061" w:rsidRPr="001318F3">
        <w:rPr>
          <w:rFonts w:ascii="Open Sans" w:hAnsi="Open Sans" w:cs="Open Sans"/>
          <w:sz w:val="20"/>
          <w:szCs w:val="20"/>
        </w:rPr>
        <w:t xml:space="preserve"> will vary between </w:t>
      </w:r>
      <w:r w:rsidR="003359B9" w:rsidRPr="001318F3">
        <w:rPr>
          <w:rFonts w:ascii="Open Sans" w:hAnsi="Open Sans" w:cs="Open Sans"/>
          <w:sz w:val="20"/>
          <w:szCs w:val="20"/>
        </w:rPr>
        <w:t>platforms</w:t>
      </w:r>
      <w:r w:rsidR="009B2061" w:rsidRPr="001318F3">
        <w:rPr>
          <w:rFonts w:ascii="Open Sans" w:hAnsi="Open Sans" w:cs="Open Sans"/>
          <w:sz w:val="20"/>
          <w:szCs w:val="20"/>
        </w:rPr>
        <w:t xml:space="preserve">.  </w:t>
      </w:r>
      <w:r w:rsidR="00693D54" w:rsidRPr="001318F3">
        <w:rPr>
          <w:rFonts w:ascii="Open Sans" w:hAnsi="Open Sans" w:cs="Open Sans"/>
          <w:sz w:val="20"/>
          <w:szCs w:val="20"/>
        </w:rPr>
        <w:t>The</w:t>
      </w:r>
      <w:r w:rsidR="009B2061" w:rsidRPr="001318F3">
        <w:rPr>
          <w:rFonts w:ascii="Open Sans" w:hAnsi="Open Sans" w:cs="Open Sans"/>
          <w:sz w:val="20"/>
          <w:szCs w:val="20"/>
        </w:rPr>
        <w:t xml:space="preserve"> particularities of </w:t>
      </w:r>
      <w:r w:rsidR="00693D54" w:rsidRPr="001318F3">
        <w:rPr>
          <w:rFonts w:ascii="Open Sans" w:hAnsi="Open Sans" w:cs="Open Sans"/>
          <w:sz w:val="20"/>
          <w:szCs w:val="20"/>
        </w:rPr>
        <w:t>each</w:t>
      </w:r>
      <w:r w:rsidR="009B2061" w:rsidRPr="001318F3">
        <w:rPr>
          <w:rFonts w:ascii="Open Sans" w:hAnsi="Open Sans" w:cs="Open Sans"/>
          <w:sz w:val="20"/>
          <w:szCs w:val="20"/>
        </w:rPr>
        <w:t xml:space="preserve"> troponin assay </w:t>
      </w:r>
      <w:r w:rsidR="00693D54" w:rsidRPr="001318F3">
        <w:rPr>
          <w:rFonts w:ascii="Open Sans" w:hAnsi="Open Sans" w:cs="Open Sans"/>
          <w:sz w:val="20"/>
          <w:szCs w:val="20"/>
        </w:rPr>
        <w:t>will determine whether this cutoff can safely be used to exclude a diagnosis of AMI</w:t>
      </w:r>
      <w:r w:rsidR="009B2061" w:rsidRPr="001318F3">
        <w:rPr>
          <w:rFonts w:ascii="Open Sans" w:hAnsi="Open Sans" w:cs="Open Sans"/>
          <w:sz w:val="20"/>
          <w:szCs w:val="20"/>
        </w:rPr>
        <w:t xml:space="preserve">.  </w:t>
      </w:r>
    </w:p>
    <w:p w14:paraId="72E1697B" w14:textId="4C93771F" w:rsidR="00693D54" w:rsidRPr="001318F3" w:rsidRDefault="00693D54" w:rsidP="00D61A34">
      <w:pPr>
        <w:rPr>
          <w:rFonts w:ascii="Open Sans" w:hAnsi="Open Sans" w:cs="Open Sans"/>
          <w:sz w:val="20"/>
          <w:szCs w:val="20"/>
        </w:rPr>
      </w:pPr>
      <w:r w:rsidRPr="001318F3">
        <w:rPr>
          <w:rFonts w:ascii="Open Sans" w:hAnsi="Open Sans" w:cs="Open Sans"/>
          <w:sz w:val="20"/>
          <w:szCs w:val="20"/>
        </w:rPr>
        <w:t xml:space="preserve">The decision points </w:t>
      </w:r>
      <w:r w:rsidR="003D0533" w:rsidRPr="001318F3">
        <w:rPr>
          <w:rFonts w:ascii="Open Sans" w:hAnsi="Open Sans" w:cs="Open Sans"/>
          <w:sz w:val="20"/>
          <w:szCs w:val="20"/>
        </w:rPr>
        <w:t>determining</w:t>
      </w:r>
      <w:r w:rsidRPr="001318F3">
        <w:rPr>
          <w:rFonts w:ascii="Open Sans" w:hAnsi="Open Sans" w:cs="Open Sans"/>
          <w:sz w:val="20"/>
          <w:szCs w:val="20"/>
        </w:rPr>
        <w:t xml:space="preserve"> high-risk and low-risk</w:t>
      </w:r>
      <w:r w:rsidR="003D0533" w:rsidRPr="001318F3">
        <w:rPr>
          <w:rFonts w:ascii="Open Sans" w:hAnsi="Open Sans" w:cs="Open Sans"/>
          <w:sz w:val="20"/>
          <w:szCs w:val="20"/>
        </w:rPr>
        <w:t xml:space="preserve"> patients need to be robust against reagent changes, platform variability, and instrument maintenance.  Internal quality control materials help monitor system performance.  Moreover, the </w:t>
      </w:r>
      <w:r w:rsidR="00E04A27" w:rsidRPr="001318F3">
        <w:rPr>
          <w:rFonts w:ascii="Open Sans" w:hAnsi="Open Sans" w:cs="Open Sans"/>
          <w:sz w:val="20"/>
          <w:szCs w:val="20"/>
        </w:rPr>
        <w:t>application</w:t>
      </w:r>
      <w:r w:rsidR="003D0533" w:rsidRPr="001318F3">
        <w:rPr>
          <w:rFonts w:ascii="Open Sans" w:hAnsi="Open Sans" w:cs="Open Sans"/>
          <w:sz w:val="20"/>
          <w:szCs w:val="20"/>
        </w:rPr>
        <w:t xml:space="preserve"> of controls impacts how patient samples are evaluated.  </w:t>
      </w:r>
      <w:r w:rsidR="00E04A27" w:rsidRPr="001318F3">
        <w:rPr>
          <w:rFonts w:ascii="Open Sans" w:hAnsi="Open Sans" w:cs="Open Sans"/>
          <w:sz w:val="20"/>
          <w:szCs w:val="20"/>
        </w:rPr>
        <w:t>A twice-daily evaluation of</w:t>
      </w:r>
      <w:r w:rsidR="003D0533" w:rsidRPr="001318F3">
        <w:rPr>
          <w:rFonts w:ascii="Open Sans" w:hAnsi="Open Sans" w:cs="Open Sans"/>
          <w:sz w:val="20"/>
          <w:szCs w:val="20"/>
        </w:rPr>
        <w:t xml:space="preserve"> quality materials near the </w:t>
      </w:r>
      <w:r w:rsidR="00E04A27" w:rsidRPr="001318F3">
        <w:rPr>
          <w:rFonts w:ascii="Open Sans" w:hAnsi="Open Sans" w:cs="Open Sans"/>
          <w:sz w:val="20"/>
          <w:szCs w:val="20"/>
        </w:rPr>
        <w:t>limit of detection</w:t>
      </w:r>
      <w:r w:rsidR="003D0533" w:rsidRPr="001318F3">
        <w:rPr>
          <w:rFonts w:ascii="Open Sans" w:hAnsi="Open Sans" w:cs="Open Sans"/>
          <w:sz w:val="20"/>
          <w:szCs w:val="20"/>
        </w:rPr>
        <w:t xml:space="preserve"> </w:t>
      </w:r>
      <w:r w:rsidR="00E04A27" w:rsidRPr="001318F3">
        <w:rPr>
          <w:rFonts w:ascii="Open Sans" w:hAnsi="Open Sans" w:cs="Open Sans"/>
          <w:sz w:val="20"/>
          <w:szCs w:val="20"/>
        </w:rPr>
        <w:t xml:space="preserve">of highly sensitive troponin assays </w:t>
      </w:r>
      <w:r w:rsidR="003D0533" w:rsidRPr="001318F3">
        <w:rPr>
          <w:rFonts w:ascii="Open Sans" w:hAnsi="Open Sans" w:cs="Open Sans"/>
          <w:sz w:val="20"/>
          <w:szCs w:val="20"/>
        </w:rPr>
        <w:t xml:space="preserve">has been shown to improve </w:t>
      </w:r>
      <w:r w:rsidR="00E04A27" w:rsidRPr="001318F3">
        <w:rPr>
          <w:rFonts w:ascii="Open Sans" w:hAnsi="Open Sans" w:cs="Open Sans"/>
          <w:sz w:val="20"/>
          <w:szCs w:val="20"/>
        </w:rPr>
        <w:t>diagnostic</w:t>
      </w:r>
      <w:r w:rsidR="003D0533" w:rsidRPr="001318F3">
        <w:rPr>
          <w:rFonts w:ascii="Open Sans" w:hAnsi="Open Sans" w:cs="Open Sans"/>
          <w:sz w:val="20"/>
          <w:szCs w:val="20"/>
        </w:rPr>
        <w:t xml:space="preserve"> accuracy </w:t>
      </w:r>
      <w:r w:rsidR="00E04A27" w:rsidRPr="001318F3">
        <w:rPr>
          <w:rFonts w:ascii="Open Sans" w:hAnsi="Open Sans" w:cs="Open Sans"/>
          <w:sz w:val="20"/>
          <w:szCs w:val="20"/>
        </w:rPr>
        <w:t xml:space="preserve">for AMI </w:t>
      </w:r>
      <w:sdt>
        <w:sdtPr>
          <w:rPr>
            <w:rFonts w:ascii="Open Sans" w:hAnsi="Open Sans" w:cs="Open Sans"/>
            <w:sz w:val="20"/>
            <w:szCs w:val="20"/>
          </w:rPr>
          <w:id w:val="204762806"/>
          <w:citation/>
        </w:sdtPr>
        <w:sdtEndPr/>
        <w:sdtContent>
          <w:r w:rsidR="003D0533" w:rsidRPr="001318F3">
            <w:rPr>
              <w:rFonts w:ascii="Open Sans" w:hAnsi="Open Sans" w:cs="Open Sans"/>
              <w:sz w:val="20"/>
              <w:szCs w:val="20"/>
            </w:rPr>
            <w:fldChar w:fldCharType="begin"/>
          </w:r>
          <w:r w:rsidR="00BA0B61">
            <w:rPr>
              <w:rFonts w:ascii="Open Sans" w:hAnsi="Open Sans" w:cs="Open Sans"/>
              <w:sz w:val="20"/>
              <w:szCs w:val="20"/>
            </w:rPr>
            <w:instrText xml:space="preserve">CITATION Ele20 \l 1033 </w:instrText>
          </w:r>
          <w:r w:rsidR="003D0533" w:rsidRPr="001318F3">
            <w:rPr>
              <w:rFonts w:ascii="Open Sans" w:hAnsi="Open Sans" w:cs="Open Sans"/>
              <w:sz w:val="20"/>
              <w:szCs w:val="20"/>
            </w:rPr>
            <w:fldChar w:fldCharType="separate"/>
          </w:r>
          <w:r w:rsidR="00BA0B61" w:rsidRPr="00BA0B61">
            <w:rPr>
              <w:rFonts w:ascii="Open Sans" w:hAnsi="Open Sans" w:cs="Open Sans"/>
              <w:noProof/>
              <w:sz w:val="20"/>
              <w:szCs w:val="20"/>
            </w:rPr>
            <w:t>(Aloisio, Pasqualetti, &amp; al., 2020)</w:t>
          </w:r>
          <w:r w:rsidR="003D0533" w:rsidRPr="001318F3">
            <w:rPr>
              <w:rFonts w:ascii="Open Sans" w:hAnsi="Open Sans" w:cs="Open Sans"/>
              <w:sz w:val="20"/>
              <w:szCs w:val="20"/>
            </w:rPr>
            <w:fldChar w:fldCharType="end"/>
          </w:r>
        </w:sdtContent>
      </w:sdt>
      <w:r w:rsidR="003D0533" w:rsidRPr="001318F3">
        <w:rPr>
          <w:rFonts w:ascii="Open Sans" w:hAnsi="Open Sans" w:cs="Open Sans"/>
          <w:sz w:val="20"/>
          <w:szCs w:val="20"/>
        </w:rPr>
        <w:t xml:space="preserve">.  </w:t>
      </w:r>
    </w:p>
    <w:p w14:paraId="59AF5050" w14:textId="7813E968" w:rsidR="007C13E9" w:rsidRDefault="007C13E9" w:rsidP="00D61A34">
      <w:pPr>
        <w:rPr>
          <w:rFonts w:ascii="Open Sans" w:hAnsi="Open Sans" w:cs="Open Sans"/>
          <w:sz w:val="20"/>
          <w:szCs w:val="20"/>
        </w:rPr>
      </w:pPr>
    </w:p>
    <w:p w14:paraId="2EEE25C8" w14:textId="6900E4DD" w:rsidR="00633F02" w:rsidRPr="001318F3" w:rsidRDefault="00516459" w:rsidP="00516459">
      <w:pPr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6258D69D" wp14:editId="38202C65">
            <wp:extent cx="3545913" cy="1153192"/>
            <wp:effectExtent l="0" t="0" r="0" b="8890"/>
            <wp:docPr id="10" name="Picture 10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&#10;&#10;Description automatically generated with medium confidenc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24" b="16318"/>
                    <a:stretch/>
                  </pic:blipFill>
                  <pic:spPr bwMode="auto">
                    <a:xfrm>
                      <a:off x="0" y="0"/>
                      <a:ext cx="3548180" cy="1153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B9FA8B" w14:textId="021790A2" w:rsidR="007C13E9" w:rsidRPr="001318F3" w:rsidRDefault="007C13E9" w:rsidP="00D61A34">
      <w:pPr>
        <w:rPr>
          <w:rFonts w:ascii="Open Sans Semibold" w:hAnsi="Open Sans Semibold" w:cs="Open Sans Semibold"/>
          <w:b/>
          <w:bCs/>
          <w:i/>
          <w:iCs/>
          <w:sz w:val="20"/>
          <w:szCs w:val="20"/>
        </w:rPr>
      </w:pPr>
      <w:r w:rsidRPr="001318F3">
        <w:rPr>
          <w:rFonts w:ascii="Open Sans Semibold" w:hAnsi="Open Sans Semibold" w:cs="Open Sans Semibold"/>
          <w:b/>
          <w:bCs/>
          <w:i/>
          <w:iCs/>
          <w:sz w:val="20"/>
          <w:szCs w:val="20"/>
        </w:rPr>
        <w:t>Daily monitoring for quality decision-making</w:t>
      </w:r>
    </w:p>
    <w:p w14:paraId="4902FEB1" w14:textId="01C06057" w:rsidR="00305C10" w:rsidRPr="001318F3" w:rsidRDefault="000526F2" w:rsidP="00D61A34">
      <w:pPr>
        <w:rPr>
          <w:rFonts w:ascii="Open Sans" w:hAnsi="Open Sans" w:cs="Open Sans"/>
          <w:sz w:val="20"/>
          <w:szCs w:val="20"/>
        </w:rPr>
      </w:pPr>
      <w:r w:rsidRPr="001318F3">
        <w:rPr>
          <w:rFonts w:ascii="Open Sans" w:hAnsi="Open Sans" w:cs="Open Sans"/>
          <w:sz w:val="20"/>
          <w:szCs w:val="20"/>
        </w:rPr>
        <w:t xml:space="preserve">Daily testing is imperative to help standardize results between different testing sites that are equipped with their individual reagent formulations, lots, and instrumentations.  </w:t>
      </w:r>
      <w:r w:rsidR="00305C10" w:rsidRPr="001318F3">
        <w:rPr>
          <w:rFonts w:ascii="Open Sans" w:hAnsi="Open Sans" w:cs="Open Sans"/>
          <w:sz w:val="20"/>
          <w:szCs w:val="20"/>
        </w:rPr>
        <w:t xml:space="preserve">In a recent study on troponin cutoff levels for AMI rule-out, patient samples were collected from 14 geographically diverse, hospital-associated emergency departments.  They were then submitted to three independent clinical laboratories for analysis on the Access </w:t>
      </w:r>
      <w:proofErr w:type="spellStart"/>
      <w:r w:rsidR="00305C10" w:rsidRPr="001318F3">
        <w:rPr>
          <w:rFonts w:ascii="Open Sans" w:hAnsi="Open Sans" w:cs="Open Sans"/>
          <w:sz w:val="20"/>
          <w:szCs w:val="20"/>
        </w:rPr>
        <w:t>hsTnI</w:t>
      </w:r>
      <w:proofErr w:type="spellEnd"/>
      <w:r w:rsidR="00305C10" w:rsidRPr="001318F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305C10" w:rsidRPr="001318F3">
        <w:rPr>
          <w:rFonts w:ascii="Open Sans" w:hAnsi="Open Sans" w:cs="Open Sans"/>
          <w:sz w:val="20"/>
          <w:szCs w:val="20"/>
        </w:rPr>
        <w:t>DxI</w:t>
      </w:r>
      <w:proofErr w:type="spellEnd"/>
      <w:r w:rsidR="00305C10" w:rsidRPr="001318F3">
        <w:rPr>
          <w:rFonts w:ascii="Open Sans" w:hAnsi="Open Sans" w:cs="Open Sans"/>
          <w:sz w:val="20"/>
          <w:szCs w:val="20"/>
        </w:rPr>
        <w:t xml:space="preserve"> 800 immunoassay system</w:t>
      </w:r>
      <w:r w:rsidR="004021E2">
        <w:rPr>
          <w:rFonts w:ascii="Open Sans" w:hAnsi="Open Sans" w:cs="Open Sans"/>
          <w:sz w:val="20"/>
          <w:szCs w:val="20"/>
        </w:rPr>
        <w:t xml:space="preserve"> (Beckman Coulter, Inc., Brea, CA)</w:t>
      </w:r>
      <w:sdt>
        <w:sdtPr>
          <w:rPr>
            <w:rFonts w:ascii="Open Sans" w:hAnsi="Open Sans" w:cs="Open Sans"/>
            <w:sz w:val="20"/>
            <w:szCs w:val="20"/>
          </w:rPr>
          <w:id w:val="-1960254256"/>
          <w:citation/>
        </w:sdtPr>
        <w:sdtEndPr/>
        <w:sdtContent>
          <w:r w:rsidR="00305C10" w:rsidRPr="001318F3">
            <w:rPr>
              <w:rFonts w:ascii="Open Sans" w:hAnsi="Open Sans" w:cs="Open Sans"/>
              <w:sz w:val="20"/>
              <w:szCs w:val="20"/>
            </w:rPr>
            <w:fldChar w:fldCharType="begin"/>
          </w:r>
          <w:r w:rsidR="004B7FE5" w:rsidRPr="001318F3">
            <w:rPr>
              <w:rFonts w:ascii="Open Sans" w:hAnsi="Open Sans" w:cs="Open Sans"/>
              <w:sz w:val="20"/>
              <w:szCs w:val="20"/>
            </w:rPr>
            <w:instrText xml:space="preserve">CITATION WFr20 \l 1033 </w:instrText>
          </w:r>
          <w:r w:rsidR="00305C10" w:rsidRPr="001318F3">
            <w:rPr>
              <w:rFonts w:ascii="Open Sans" w:hAnsi="Open Sans" w:cs="Open Sans"/>
              <w:sz w:val="20"/>
              <w:szCs w:val="20"/>
            </w:rPr>
            <w:fldChar w:fldCharType="separate"/>
          </w:r>
          <w:r w:rsidR="004B7FE5" w:rsidRPr="001318F3">
            <w:rPr>
              <w:rFonts w:ascii="Open Sans" w:hAnsi="Open Sans" w:cs="Open Sans"/>
              <w:noProof/>
              <w:sz w:val="20"/>
              <w:szCs w:val="20"/>
            </w:rPr>
            <w:t xml:space="preserve"> (Peacock, Christenson, &amp; al., 2020)</w:t>
          </w:r>
          <w:r w:rsidR="00305C10" w:rsidRPr="001318F3">
            <w:rPr>
              <w:rFonts w:ascii="Open Sans" w:hAnsi="Open Sans" w:cs="Open Sans"/>
              <w:sz w:val="20"/>
              <w:szCs w:val="20"/>
            </w:rPr>
            <w:fldChar w:fldCharType="end"/>
          </w:r>
        </w:sdtContent>
      </w:sdt>
      <w:r w:rsidR="00305C10" w:rsidRPr="001318F3">
        <w:rPr>
          <w:rFonts w:ascii="Open Sans" w:hAnsi="Open Sans" w:cs="Open Sans"/>
          <w:sz w:val="20"/>
          <w:szCs w:val="20"/>
        </w:rPr>
        <w:t>.</w:t>
      </w:r>
    </w:p>
    <w:p w14:paraId="6FD19005" w14:textId="4BEE0FAF" w:rsidR="00305C10" w:rsidRPr="001318F3" w:rsidRDefault="00305C10" w:rsidP="00D61A34">
      <w:pPr>
        <w:rPr>
          <w:rFonts w:ascii="Open Sans" w:hAnsi="Open Sans" w:cs="Open Sans"/>
          <w:sz w:val="20"/>
          <w:szCs w:val="20"/>
        </w:rPr>
      </w:pPr>
      <w:r w:rsidRPr="001318F3">
        <w:rPr>
          <w:rFonts w:ascii="Open Sans" w:hAnsi="Open Sans" w:cs="Open Sans"/>
          <w:sz w:val="20"/>
          <w:szCs w:val="20"/>
        </w:rPr>
        <w:t xml:space="preserve">How could the authors ensure that the various plasma samples would be correctly interpreted at each site?  As it turned out, they had </w:t>
      </w:r>
      <w:r w:rsidR="003359B9" w:rsidRPr="001318F3">
        <w:rPr>
          <w:rFonts w:ascii="Open Sans" w:hAnsi="Open Sans" w:cs="Open Sans"/>
          <w:sz w:val="20"/>
          <w:szCs w:val="20"/>
        </w:rPr>
        <w:t>previously</w:t>
      </w:r>
      <w:r w:rsidRPr="001318F3">
        <w:rPr>
          <w:rFonts w:ascii="Open Sans" w:hAnsi="Open Sans" w:cs="Open Sans"/>
          <w:sz w:val="20"/>
          <w:szCs w:val="20"/>
        </w:rPr>
        <w:t xml:space="preserve"> established a method for biomarker testing utilizing </w:t>
      </w:r>
      <w:r w:rsidR="004021E2">
        <w:rPr>
          <w:rFonts w:ascii="Open Sans" w:hAnsi="Open Sans" w:cs="Open Sans"/>
          <w:sz w:val="20"/>
          <w:szCs w:val="20"/>
        </w:rPr>
        <w:t xml:space="preserve">More Diagnostics’ </w:t>
      </w:r>
      <w:r w:rsidRPr="001318F3">
        <w:rPr>
          <w:rFonts w:ascii="Open Sans" w:hAnsi="Open Sans" w:cs="Open Sans"/>
          <w:sz w:val="20"/>
          <w:szCs w:val="20"/>
        </w:rPr>
        <w:t>Cardiac Markers Control</w:t>
      </w:r>
      <w:r w:rsidR="004021E2">
        <w:rPr>
          <w:rFonts w:ascii="Open Sans" w:hAnsi="Open Sans" w:cs="Open Sans"/>
          <w:sz w:val="20"/>
          <w:szCs w:val="20"/>
        </w:rPr>
        <w:t xml:space="preserve"> </w:t>
      </w:r>
      <w:r w:rsidR="004021E2" w:rsidRPr="001318F3">
        <w:rPr>
          <w:rFonts w:ascii="Open Sans" w:hAnsi="Open Sans" w:cs="Open Sans"/>
          <w:sz w:val="20"/>
          <w:szCs w:val="20"/>
        </w:rPr>
        <w:t>(</w:t>
      </w:r>
      <w:r w:rsidR="004021E2">
        <w:rPr>
          <w:rFonts w:ascii="Open Sans" w:hAnsi="Open Sans" w:cs="Open Sans"/>
          <w:sz w:val="20"/>
          <w:szCs w:val="20"/>
        </w:rPr>
        <w:t>Los Osos, CA</w:t>
      </w:r>
      <w:r w:rsidR="004021E2" w:rsidRPr="001318F3">
        <w:rPr>
          <w:rFonts w:ascii="Open Sans" w:hAnsi="Open Sans" w:cs="Open Sans"/>
          <w:sz w:val="20"/>
          <w:szCs w:val="20"/>
        </w:rPr>
        <w:t>)</w:t>
      </w:r>
      <w:r w:rsidRPr="001318F3">
        <w:rPr>
          <w:rFonts w:ascii="Open Sans" w:hAnsi="Open Sans" w:cs="Open Sans"/>
          <w:sz w:val="20"/>
          <w:szCs w:val="20"/>
        </w:rPr>
        <w:t xml:space="preserve">.  From the 14 sites of </w:t>
      </w:r>
      <w:r w:rsidR="005D29EF" w:rsidRPr="001318F3">
        <w:rPr>
          <w:rFonts w:ascii="Open Sans" w:hAnsi="Open Sans" w:cs="Open Sans"/>
          <w:sz w:val="20"/>
          <w:szCs w:val="20"/>
        </w:rPr>
        <w:t xml:space="preserve">emergency departments, patient samples were sent to four independent external laboratories. </w:t>
      </w:r>
      <w:r w:rsidRPr="001318F3">
        <w:rPr>
          <w:rFonts w:ascii="Open Sans" w:hAnsi="Open Sans" w:cs="Open Sans"/>
          <w:sz w:val="20"/>
          <w:szCs w:val="20"/>
        </w:rPr>
        <w:t xml:space="preserve"> </w:t>
      </w:r>
      <w:r w:rsidR="005D29EF" w:rsidRPr="001318F3">
        <w:rPr>
          <w:rFonts w:ascii="Open Sans" w:hAnsi="Open Sans" w:cs="Open Sans"/>
          <w:sz w:val="20"/>
          <w:szCs w:val="20"/>
        </w:rPr>
        <w:t>P</w:t>
      </w:r>
      <w:r w:rsidRPr="001318F3">
        <w:rPr>
          <w:rFonts w:ascii="Open Sans" w:hAnsi="Open Sans" w:cs="Open Sans"/>
          <w:sz w:val="20"/>
          <w:szCs w:val="20"/>
        </w:rPr>
        <w:t xml:space="preserve">ersonnel at </w:t>
      </w:r>
      <w:r w:rsidR="005D29EF" w:rsidRPr="001318F3">
        <w:rPr>
          <w:rFonts w:ascii="Open Sans" w:hAnsi="Open Sans" w:cs="Open Sans"/>
          <w:sz w:val="20"/>
          <w:szCs w:val="20"/>
        </w:rPr>
        <w:t>each</w:t>
      </w:r>
      <w:r w:rsidRPr="001318F3">
        <w:rPr>
          <w:rFonts w:ascii="Open Sans" w:hAnsi="Open Sans" w:cs="Open Sans"/>
          <w:sz w:val="20"/>
          <w:szCs w:val="20"/>
        </w:rPr>
        <w:t xml:space="preserve"> laborator</w:t>
      </w:r>
      <w:r w:rsidR="005D29EF" w:rsidRPr="001318F3">
        <w:rPr>
          <w:rFonts w:ascii="Open Sans" w:hAnsi="Open Sans" w:cs="Open Sans"/>
          <w:sz w:val="20"/>
          <w:szCs w:val="20"/>
        </w:rPr>
        <w:t>y</w:t>
      </w:r>
      <w:r w:rsidRPr="001318F3">
        <w:rPr>
          <w:rFonts w:ascii="Open Sans" w:hAnsi="Open Sans" w:cs="Open Sans"/>
          <w:sz w:val="20"/>
          <w:szCs w:val="20"/>
        </w:rPr>
        <w:t xml:space="preserve"> reported the actual CVs of Beckman Coulter’s Access AccuTnI+3 </w:t>
      </w:r>
      <w:r w:rsidR="003E1BC0">
        <w:rPr>
          <w:rFonts w:ascii="Open Sans" w:hAnsi="Open Sans" w:cs="Open Sans"/>
          <w:sz w:val="20"/>
          <w:szCs w:val="20"/>
        </w:rPr>
        <w:t>assay</w:t>
      </w:r>
      <w:r w:rsidR="004021E2">
        <w:rPr>
          <w:rFonts w:ascii="Open Sans" w:hAnsi="Open Sans" w:cs="Open Sans"/>
          <w:sz w:val="20"/>
          <w:szCs w:val="20"/>
        </w:rPr>
        <w:t xml:space="preserve"> (Brea, CA)</w:t>
      </w:r>
      <w:r w:rsidRPr="001318F3">
        <w:rPr>
          <w:rFonts w:ascii="Open Sans" w:hAnsi="Open Sans" w:cs="Open Sans"/>
          <w:sz w:val="20"/>
          <w:szCs w:val="20"/>
        </w:rPr>
        <w:t xml:space="preserve"> by running Bio-Rad’s</w:t>
      </w:r>
      <w:r w:rsidR="004021E2">
        <w:rPr>
          <w:rFonts w:ascii="Open Sans" w:hAnsi="Open Sans" w:cs="Open Sans"/>
          <w:sz w:val="20"/>
          <w:szCs w:val="20"/>
        </w:rPr>
        <w:t xml:space="preserve"> </w:t>
      </w:r>
      <w:r w:rsidR="00BA0B61" w:rsidRPr="001318F3">
        <w:rPr>
          <w:rFonts w:ascii="Open Sans" w:hAnsi="Open Sans" w:cs="Open Sans"/>
          <w:sz w:val="20"/>
          <w:szCs w:val="20"/>
        </w:rPr>
        <w:t xml:space="preserve">quality controls </w:t>
      </w:r>
      <w:r w:rsidR="004021E2">
        <w:rPr>
          <w:rFonts w:ascii="Open Sans" w:hAnsi="Open Sans" w:cs="Open Sans"/>
          <w:sz w:val="20"/>
          <w:szCs w:val="20"/>
        </w:rPr>
        <w:t>(Hercules, CA)</w:t>
      </w:r>
      <w:r w:rsidRPr="001318F3">
        <w:rPr>
          <w:rFonts w:ascii="Open Sans" w:hAnsi="Open Sans" w:cs="Open Sans"/>
          <w:sz w:val="20"/>
          <w:szCs w:val="20"/>
        </w:rPr>
        <w:t xml:space="preserve"> and</w:t>
      </w:r>
      <w:r w:rsidR="00BA0B61">
        <w:rPr>
          <w:rFonts w:ascii="Open Sans" w:hAnsi="Open Sans" w:cs="Open Sans"/>
          <w:sz w:val="20"/>
          <w:szCs w:val="20"/>
        </w:rPr>
        <w:t xml:space="preserve"> the</w:t>
      </w:r>
      <w:r w:rsidRPr="001318F3">
        <w:rPr>
          <w:rFonts w:ascii="Open Sans" w:hAnsi="Open Sans" w:cs="Open Sans"/>
          <w:sz w:val="20"/>
          <w:szCs w:val="20"/>
        </w:rPr>
        <w:t xml:space="preserve"> </w:t>
      </w:r>
      <w:r w:rsidR="00BA0B61">
        <w:rPr>
          <w:rFonts w:ascii="Open Sans" w:hAnsi="Open Sans" w:cs="Open Sans"/>
          <w:sz w:val="20"/>
          <w:szCs w:val="20"/>
        </w:rPr>
        <w:t>Cardiac Markers Control (More Diagnostics Inc., Los Osos, CA)</w:t>
      </w:r>
      <w:r w:rsidRPr="001318F3">
        <w:rPr>
          <w:rFonts w:ascii="Open Sans" w:hAnsi="Open Sans" w:cs="Open Sans"/>
          <w:sz w:val="20"/>
          <w:szCs w:val="20"/>
        </w:rPr>
        <w:t xml:space="preserve"> twice per day, in duplicate</w:t>
      </w:r>
      <w:sdt>
        <w:sdtPr>
          <w:rPr>
            <w:rFonts w:ascii="Open Sans" w:hAnsi="Open Sans" w:cs="Open Sans"/>
            <w:sz w:val="20"/>
            <w:szCs w:val="20"/>
          </w:rPr>
          <w:id w:val="-896209320"/>
          <w:citation/>
        </w:sdtPr>
        <w:sdtEndPr/>
        <w:sdtContent>
          <w:r w:rsidR="005D29EF" w:rsidRPr="001318F3">
            <w:rPr>
              <w:rFonts w:ascii="Open Sans" w:hAnsi="Open Sans" w:cs="Open Sans"/>
              <w:sz w:val="20"/>
              <w:szCs w:val="20"/>
            </w:rPr>
            <w:fldChar w:fldCharType="begin"/>
          </w:r>
          <w:r w:rsidR="00BA0B61">
            <w:rPr>
              <w:rFonts w:ascii="Open Sans" w:hAnsi="Open Sans" w:cs="Open Sans"/>
              <w:sz w:val="20"/>
              <w:szCs w:val="20"/>
            </w:rPr>
            <w:instrText xml:space="preserve">CITATION Ala15 \l 1033 </w:instrText>
          </w:r>
          <w:r w:rsidR="005D29EF" w:rsidRPr="001318F3">
            <w:rPr>
              <w:rFonts w:ascii="Open Sans" w:hAnsi="Open Sans" w:cs="Open Sans"/>
              <w:sz w:val="20"/>
              <w:szCs w:val="20"/>
            </w:rPr>
            <w:fldChar w:fldCharType="separate"/>
          </w:r>
          <w:r w:rsidR="00BA0B61">
            <w:rPr>
              <w:rFonts w:ascii="Open Sans" w:hAnsi="Open Sans" w:cs="Open Sans"/>
              <w:noProof/>
              <w:sz w:val="20"/>
              <w:szCs w:val="20"/>
            </w:rPr>
            <w:t xml:space="preserve"> </w:t>
          </w:r>
          <w:r w:rsidR="00BA0B61" w:rsidRPr="00BA0B61">
            <w:rPr>
              <w:rFonts w:ascii="Open Sans" w:hAnsi="Open Sans" w:cs="Open Sans"/>
              <w:noProof/>
              <w:sz w:val="20"/>
              <w:szCs w:val="20"/>
            </w:rPr>
            <w:t>(Storrow, Christenson, &amp; al., 2015)</w:t>
          </w:r>
          <w:r w:rsidR="005D29EF" w:rsidRPr="001318F3">
            <w:rPr>
              <w:rFonts w:ascii="Open Sans" w:hAnsi="Open Sans" w:cs="Open Sans"/>
              <w:sz w:val="20"/>
              <w:szCs w:val="20"/>
            </w:rPr>
            <w:fldChar w:fldCharType="end"/>
          </w:r>
        </w:sdtContent>
      </w:sdt>
      <w:r w:rsidRPr="001318F3">
        <w:rPr>
          <w:rFonts w:ascii="Open Sans" w:hAnsi="Open Sans" w:cs="Open Sans"/>
          <w:sz w:val="20"/>
          <w:szCs w:val="20"/>
        </w:rPr>
        <w:t>.</w:t>
      </w:r>
    </w:p>
    <w:p w14:paraId="548949D9" w14:textId="1EFF5F76" w:rsidR="00D019B2" w:rsidRDefault="005D29EF" w:rsidP="00D61A34">
      <w:pPr>
        <w:rPr>
          <w:rFonts w:ascii="Open Sans" w:hAnsi="Open Sans" w:cs="Open Sans"/>
          <w:sz w:val="20"/>
          <w:szCs w:val="20"/>
        </w:rPr>
      </w:pPr>
      <w:r w:rsidRPr="001318F3">
        <w:rPr>
          <w:rFonts w:ascii="Open Sans" w:hAnsi="Open Sans" w:cs="Open Sans"/>
          <w:sz w:val="20"/>
          <w:szCs w:val="20"/>
        </w:rPr>
        <w:t>After validating the AccuTnI+3, analysis on the patient cohort could predict AMI with nearly 90% probability based on levels of troponin that rose above a set diagnostic threshold</w:t>
      </w:r>
      <w:sdt>
        <w:sdtPr>
          <w:rPr>
            <w:rFonts w:ascii="Open Sans" w:hAnsi="Open Sans" w:cs="Open Sans"/>
            <w:sz w:val="20"/>
            <w:szCs w:val="20"/>
          </w:rPr>
          <w:id w:val="-401760659"/>
          <w:citation/>
        </w:sdtPr>
        <w:sdtContent>
          <w:r w:rsidR="00BA0B61">
            <w:rPr>
              <w:rFonts w:ascii="Open Sans" w:hAnsi="Open Sans" w:cs="Open Sans"/>
              <w:sz w:val="20"/>
              <w:szCs w:val="20"/>
            </w:rPr>
            <w:fldChar w:fldCharType="begin"/>
          </w:r>
          <w:r w:rsidR="00BA0B61">
            <w:rPr>
              <w:rFonts w:ascii="Open Sans" w:hAnsi="Open Sans" w:cs="Open Sans"/>
              <w:sz w:val="20"/>
              <w:szCs w:val="20"/>
            </w:rPr>
            <w:instrText xml:space="preserve">CITATION Ala15 \l 1033 </w:instrText>
          </w:r>
          <w:r w:rsidR="00BA0B61">
            <w:rPr>
              <w:rFonts w:ascii="Open Sans" w:hAnsi="Open Sans" w:cs="Open Sans"/>
              <w:sz w:val="20"/>
              <w:szCs w:val="20"/>
            </w:rPr>
            <w:fldChar w:fldCharType="separate"/>
          </w:r>
          <w:r w:rsidR="00BA0B61">
            <w:rPr>
              <w:rFonts w:ascii="Open Sans" w:hAnsi="Open Sans" w:cs="Open Sans"/>
              <w:noProof/>
              <w:sz w:val="20"/>
              <w:szCs w:val="20"/>
            </w:rPr>
            <w:t xml:space="preserve"> </w:t>
          </w:r>
          <w:r w:rsidR="00BA0B61" w:rsidRPr="00BA0B61">
            <w:rPr>
              <w:rFonts w:ascii="Open Sans" w:hAnsi="Open Sans" w:cs="Open Sans"/>
              <w:noProof/>
              <w:sz w:val="20"/>
              <w:szCs w:val="20"/>
            </w:rPr>
            <w:t>(Storrow, Christenson, &amp; al., 2015)</w:t>
          </w:r>
          <w:r w:rsidR="00BA0B61">
            <w:rPr>
              <w:rFonts w:ascii="Open Sans" w:hAnsi="Open Sans" w:cs="Open Sans"/>
              <w:sz w:val="20"/>
              <w:szCs w:val="20"/>
            </w:rPr>
            <w:fldChar w:fldCharType="end"/>
          </w:r>
        </w:sdtContent>
      </w:sdt>
      <w:r w:rsidRPr="001318F3">
        <w:rPr>
          <w:rFonts w:ascii="Open Sans" w:hAnsi="Open Sans" w:cs="Open Sans"/>
          <w:sz w:val="20"/>
          <w:szCs w:val="20"/>
        </w:rPr>
        <w:t xml:space="preserve">.  </w:t>
      </w:r>
    </w:p>
    <w:p w14:paraId="69FCDB5E" w14:textId="77777777" w:rsidR="00D019B2" w:rsidRDefault="00D019B2" w:rsidP="00D61A34">
      <w:pPr>
        <w:rPr>
          <w:rFonts w:ascii="Open Sans" w:hAnsi="Open Sans" w:cs="Open Sans"/>
          <w:sz w:val="20"/>
          <w:szCs w:val="20"/>
        </w:rPr>
      </w:pPr>
    </w:p>
    <w:p w14:paraId="40D9FCFC" w14:textId="5DF44B1E" w:rsidR="00D019B2" w:rsidRPr="00D019B2" w:rsidRDefault="00D019B2" w:rsidP="00D61A34">
      <w:pPr>
        <w:rPr>
          <w:rFonts w:ascii="Open Sans Semibold" w:hAnsi="Open Sans Semibold" w:cs="Open Sans Semibold"/>
          <w:b/>
          <w:bCs/>
          <w:i/>
          <w:iCs/>
          <w:sz w:val="20"/>
          <w:szCs w:val="20"/>
        </w:rPr>
      </w:pPr>
      <w:r>
        <w:rPr>
          <w:rFonts w:ascii="Open Sans Semibold" w:hAnsi="Open Sans Semibold" w:cs="Open Sans Semibold"/>
          <w:b/>
          <w:bCs/>
          <w:i/>
          <w:iCs/>
          <w:sz w:val="20"/>
          <w:szCs w:val="20"/>
        </w:rPr>
        <w:lastRenderedPageBreak/>
        <w:t>Rapidly ruling out a diagnosis</w:t>
      </w:r>
    </w:p>
    <w:p w14:paraId="5D143678" w14:textId="25879FAB" w:rsidR="00F51508" w:rsidRPr="001318F3" w:rsidRDefault="005D29EF" w:rsidP="00D61A34">
      <w:pPr>
        <w:rPr>
          <w:rFonts w:ascii="Open Sans" w:hAnsi="Open Sans" w:cs="Open Sans"/>
          <w:sz w:val="20"/>
          <w:szCs w:val="20"/>
        </w:rPr>
      </w:pPr>
      <w:r w:rsidRPr="001318F3">
        <w:rPr>
          <w:rFonts w:ascii="Open Sans" w:hAnsi="Open Sans" w:cs="Open Sans"/>
          <w:sz w:val="20"/>
          <w:szCs w:val="20"/>
        </w:rPr>
        <w:t>The</w:t>
      </w:r>
      <w:r w:rsidR="003359B9" w:rsidRPr="001318F3">
        <w:rPr>
          <w:rFonts w:ascii="Open Sans" w:hAnsi="Open Sans" w:cs="Open Sans"/>
          <w:sz w:val="20"/>
          <w:szCs w:val="20"/>
        </w:rPr>
        <w:t xml:space="preserve"> 2020</w:t>
      </w:r>
      <w:r w:rsidRPr="001318F3">
        <w:rPr>
          <w:rFonts w:ascii="Open Sans" w:hAnsi="Open Sans" w:cs="Open Sans"/>
          <w:sz w:val="20"/>
          <w:szCs w:val="20"/>
        </w:rPr>
        <w:t xml:space="preserve"> </w:t>
      </w:r>
      <w:r w:rsidR="00734560" w:rsidRPr="001318F3">
        <w:rPr>
          <w:rFonts w:ascii="Open Sans" w:hAnsi="Open Sans" w:cs="Open Sans"/>
          <w:sz w:val="20"/>
          <w:szCs w:val="20"/>
        </w:rPr>
        <w:t xml:space="preserve">follow-up to this result addressed a different question:  whether patients could be safely excluded from a diagnosis of AMI.  </w:t>
      </w:r>
      <w:r w:rsidR="00D019B2">
        <w:rPr>
          <w:rFonts w:ascii="Open Sans" w:hAnsi="Open Sans" w:cs="Open Sans"/>
          <w:sz w:val="20"/>
          <w:szCs w:val="20"/>
        </w:rPr>
        <w:t>A successful rule-out</w:t>
      </w:r>
      <w:r w:rsidR="00F42E00">
        <w:rPr>
          <w:rFonts w:ascii="Open Sans" w:hAnsi="Open Sans" w:cs="Open Sans"/>
          <w:sz w:val="20"/>
          <w:szCs w:val="20"/>
        </w:rPr>
        <w:t xml:space="preserve"> benefits both the emergency department and the patient by increasing diagnostic accuracy and providing peace of mind.</w:t>
      </w:r>
    </w:p>
    <w:p w14:paraId="2D7E4622" w14:textId="711203FF" w:rsidR="00734560" w:rsidRPr="001318F3" w:rsidRDefault="005C64CB" w:rsidP="00D61A34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The</w:t>
      </w:r>
      <w:r w:rsidR="003E1BC0">
        <w:rPr>
          <w:rFonts w:ascii="Open Sans" w:hAnsi="Open Sans" w:cs="Open Sans"/>
          <w:sz w:val="20"/>
          <w:szCs w:val="20"/>
        </w:rPr>
        <w:t xml:space="preserve"> authors were </w:t>
      </w:r>
      <w:r>
        <w:rPr>
          <w:rFonts w:ascii="Open Sans" w:hAnsi="Open Sans" w:cs="Open Sans"/>
          <w:sz w:val="20"/>
          <w:szCs w:val="20"/>
        </w:rPr>
        <w:t xml:space="preserve">100% accurate in </w:t>
      </w:r>
      <w:r w:rsidR="00D33D30">
        <w:rPr>
          <w:rFonts w:ascii="Open Sans" w:hAnsi="Open Sans" w:cs="Open Sans"/>
          <w:sz w:val="20"/>
          <w:szCs w:val="20"/>
        </w:rPr>
        <w:t>excluding</w:t>
      </w:r>
      <w:r w:rsidR="003E1BC0">
        <w:rPr>
          <w:rFonts w:ascii="Open Sans" w:hAnsi="Open Sans" w:cs="Open Sans"/>
          <w:sz w:val="20"/>
          <w:szCs w:val="20"/>
        </w:rPr>
        <w:t xml:space="preserve"> AMI in patients with suspected acute coronary syndromes.</w:t>
      </w:r>
      <w:r w:rsidR="00734560" w:rsidRPr="001318F3">
        <w:rPr>
          <w:rFonts w:ascii="Open Sans" w:hAnsi="Open Sans" w:cs="Open Sans"/>
          <w:sz w:val="20"/>
          <w:szCs w:val="20"/>
        </w:rPr>
        <w:t xml:space="preserve"> </w:t>
      </w:r>
      <w:r w:rsidR="003E1BC0">
        <w:rPr>
          <w:rFonts w:ascii="Open Sans" w:hAnsi="Open Sans" w:cs="Open Sans"/>
          <w:sz w:val="20"/>
          <w:szCs w:val="20"/>
        </w:rPr>
        <w:t xml:space="preserve">Their </w:t>
      </w:r>
      <w:r w:rsidR="00734560" w:rsidRPr="001318F3">
        <w:rPr>
          <w:rFonts w:ascii="Open Sans" w:hAnsi="Open Sans" w:cs="Open Sans"/>
          <w:sz w:val="20"/>
          <w:szCs w:val="20"/>
        </w:rPr>
        <w:t xml:space="preserve">findings showed </w:t>
      </w:r>
      <w:r>
        <w:rPr>
          <w:rFonts w:ascii="Open Sans" w:hAnsi="Open Sans" w:cs="Open Sans"/>
          <w:sz w:val="20"/>
          <w:szCs w:val="20"/>
        </w:rPr>
        <w:t xml:space="preserve">that </w:t>
      </w:r>
      <w:r w:rsidRPr="001318F3">
        <w:rPr>
          <w:rFonts w:ascii="Open Sans" w:hAnsi="Open Sans" w:cs="Open Sans"/>
          <w:sz w:val="20"/>
          <w:szCs w:val="20"/>
        </w:rPr>
        <w:t>troponin levels stayed below the 10% or 20% assay CV cutoffs</w:t>
      </w:r>
      <w:r>
        <w:rPr>
          <w:rFonts w:ascii="Open Sans" w:hAnsi="Open Sans" w:cs="Open Sans"/>
          <w:sz w:val="20"/>
          <w:szCs w:val="20"/>
        </w:rPr>
        <w:t xml:space="preserve"> for those who truly did not have the disease</w:t>
      </w:r>
      <w:r w:rsidR="00734560" w:rsidRPr="001318F3">
        <w:rPr>
          <w:rFonts w:ascii="Open Sans" w:hAnsi="Open Sans" w:cs="Open Sans"/>
          <w:sz w:val="20"/>
          <w:szCs w:val="20"/>
        </w:rPr>
        <w:t xml:space="preserve">.  </w:t>
      </w:r>
      <w:r w:rsidR="00397E81" w:rsidRPr="001318F3">
        <w:rPr>
          <w:rFonts w:ascii="Open Sans" w:hAnsi="Open Sans" w:cs="Open Sans"/>
          <w:sz w:val="20"/>
          <w:szCs w:val="20"/>
        </w:rPr>
        <w:t xml:space="preserve">The increased sensitivity of Beckman Coulter’s </w:t>
      </w:r>
      <w:proofErr w:type="spellStart"/>
      <w:r w:rsidR="00397E81" w:rsidRPr="001318F3">
        <w:rPr>
          <w:rFonts w:ascii="Open Sans" w:hAnsi="Open Sans" w:cs="Open Sans"/>
          <w:sz w:val="20"/>
          <w:szCs w:val="20"/>
        </w:rPr>
        <w:t>hsTnI</w:t>
      </w:r>
      <w:proofErr w:type="spellEnd"/>
      <w:r w:rsidR="00397E81" w:rsidRPr="001318F3">
        <w:rPr>
          <w:rFonts w:ascii="Open Sans" w:hAnsi="Open Sans" w:cs="Open Sans"/>
          <w:sz w:val="20"/>
          <w:szCs w:val="20"/>
        </w:rPr>
        <w:t xml:space="preserve"> assay</w:t>
      </w:r>
      <w:r w:rsidR="003E1BC0">
        <w:rPr>
          <w:rFonts w:ascii="Open Sans" w:hAnsi="Open Sans" w:cs="Open Sans"/>
          <w:sz w:val="20"/>
          <w:szCs w:val="20"/>
        </w:rPr>
        <w:t xml:space="preserve"> (Brea, CA)</w:t>
      </w:r>
      <w:r w:rsidR="00397E81" w:rsidRPr="001318F3">
        <w:rPr>
          <w:rFonts w:ascii="Open Sans" w:hAnsi="Open Sans" w:cs="Open Sans"/>
          <w:sz w:val="20"/>
          <w:szCs w:val="20"/>
        </w:rPr>
        <w:t xml:space="preserve"> is what made the investigation possible.  Going further, the results on this high sensitivity assay could be used for an accelerated diagnosis (&lt;6 hours) that only required sampling at 2 timepoints:  upon admission and after three hours</w:t>
      </w:r>
      <w:sdt>
        <w:sdtPr>
          <w:rPr>
            <w:rFonts w:ascii="Open Sans" w:hAnsi="Open Sans" w:cs="Open Sans"/>
            <w:sz w:val="20"/>
            <w:szCs w:val="20"/>
          </w:rPr>
          <w:id w:val="2117704355"/>
          <w:citation/>
        </w:sdtPr>
        <w:sdtEndPr/>
        <w:sdtContent>
          <w:r w:rsidR="00397E81" w:rsidRPr="001318F3">
            <w:rPr>
              <w:rFonts w:ascii="Open Sans" w:hAnsi="Open Sans" w:cs="Open Sans"/>
              <w:sz w:val="20"/>
              <w:szCs w:val="20"/>
            </w:rPr>
            <w:fldChar w:fldCharType="begin"/>
          </w:r>
          <w:r w:rsidR="004B7FE5" w:rsidRPr="001318F3">
            <w:rPr>
              <w:rFonts w:ascii="Open Sans" w:hAnsi="Open Sans" w:cs="Open Sans"/>
              <w:sz w:val="20"/>
              <w:szCs w:val="20"/>
            </w:rPr>
            <w:instrText xml:space="preserve">CITATION WFr20 \l 1033 </w:instrText>
          </w:r>
          <w:r w:rsidR="00397E81" w:rsidRPr="001318F3">
            <w:rPr>
              <w:rFonts w:ascii="Open Sans" w:hAnsi="Open Sans" w:cs="Open Sans"/>
              <w:sz w:val="20"/>
              <w:szCs w:val="20"/>
            </w:rPr>
            <w:fldChar w:fldCharType="separate"/>
          </w:r>
          <w:r w:rsidR="004B7FE5" w:rsidRPr="001318F3">
            <w:rPr>
              <w:rFonts w:ascii="Open Sans" w:hAnsi="Open Sans" w:cs="Open Sans"/>
              <w:noProof/>
              <w:sz w:val="20"/>
              <w:szCs w:val="20"/>
            </w:rPr>
            <w:t xml:space="preserve"> (Peacock, Christenson, &amp; al., 2020)</w:t>
          </w:r>
          <w:r w:rsidR="00397E81" w:rsidRPr="001318F3">
            <w:rPr>
              <w:rFonts w:ascii="Open Sans" w:hAnsi="Open Sans" w:cs="Open Sans"/>
              <w:sz w:val="20"/>
              <w:szCs w:val="20"/>
            </w:rPr>
            <w:fldChar w:fldCharType="end"/>
          </w:r>
        </w:sdtContent>
      </w:sdt>
      <w:r w:rsidR="00397E81" w:rsidRPr="001318F3">
        <w:rPr>
          <w:rFonts w:ascii="Open Sans" w:hAnsi="Open Sans" w:cs="Open Sans"/>
          <w:sz w:val="20"/>
          <w:szCs w:val="20"/>
        </w:rPr>
        <w:t>.</w:t>
      </w:r>
    </w:p>
    <w:p w14:paraId="09F40B8A" w14:textId="4FF2CB2C" w:rsidR="007C13E9" w:rsidRDefault="007C13E9" w:rsidP="00D61A34">
      <w:pPr>
        <w:rPr>
          <w:rFonts w:ascii="Open Sans" w:hAnsi="Open Sans" w:cs="Open Sans"/>
          <w:sz w:val="20"/>
          <w:szCs w:val="20"/>
        </w:rPr>
      </w:pPr>
    </w:p>
    <w:p w14:paraId="30693159" w14:textId="3F2F938A" w:rsidR="00703B1C" w:rsidRPr="001318F3" w:rsidRDefault="009E015C" w:rsidP="00516459">
      <w:pPr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1F3BE469" wp14:editId="114233B8">
            <wp:extent cx="2389839" cy="2036240"/>
            <wp:effectExtent l="0" t="0" r="0" b="254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839" cy="20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F1361" w14:textId="640DA7F3" w:rsidR="007C13E9" w:rsidRPr="001318F3" w:rsidRDefault="007C13E9" w:rsidP="00D61A34">
      <w:pPr>
        <w:rPr>
          <w:rFonts w:ascii="Open Sans Semibold" w:hAnsi="Open Sans Semibold" w:cs="Open Sans Semibold"/>
          <w:b/>
          <w:bCs/>
          <w:i/>
          <w:iCs/>
          <w:sz w:val="20"/>
          <w:szCs w:val="20"/>
        </w:rPr>
      </w:pPr>
      <w:r w:rsidRPr="001318F3">
        <w:rPr>
          <w:rFonts w:ascii="Open Sans Semibold" w:hAnsi="Open Sans Semibold" w:cs="Open Sans Semibold"/>
          <w:b/>
          <w:bCs/>
          <w:i/>
          <w:iCs/>
          <w:sz w:val="20"/>
          <w:szCs w:val="20"/>
        </w:rPr>
        <w:t xml:space="preserve">Towards a </w:t>
      </w:r>
      <w:r w:rsidR="00F44ACA" w:rsidRPr="001318F3">
        <w:rPr>
          <w:rFonts w:ascii="Open Sans Semibold" w:hAnsi="Open Sans Semibold" w:cs="Open Sans Semibold"/>
          <w:b/>
          <w:bCs/>
          <w:i/>
          <w:iCs/>
          <w:sz w:val="20"/>
          <w:szCs w:val="20"/>
        </w:rPr>
        <w:t>more assured</w:t>
      </w:r>
      <w:r w:rsidRPr="001318F3">
        <w:rPr>
          <w:rFonts w:ascii="Open Sans Semibold" w:hAnsi="Open Sans Semibold" w:cs="Open Sans Semibold"/>
          <w:b/>
          <w:bCs/>
          <w:i/>
          <w:iCs/>
          <w:sz w:val="20"/>
          <w:szCs w:val="20"/>
        </w:rPr>
        <w:t xml:space="preserve"> future</w:t>
      </w:r>
    </w:p>
    <w:p w14:paraId="5A3D4B52" w14:textId="17407B7C" w:rsidR="001A307A" w:rsidRDefault="001A307A" w:rsidP="00D61A34">
      <w:pPr>
        <w:rPr>
          <w:rFonts w:ascii="Open Sans" w:hAnsi="Open Sans" w:cs="Open Sans"/>
          <w:sz w:val="20"/>
          <w:szCs w:val="20"/>
        </w:rPr>
      </w:pPr>
      <w:r w:rsidRPr="001318F3">
        <w:rPr>
          <w:rFonts w:ascii="Open Sans" w:hAnsi="Open Sans" w:cs="Open Sans"/>
          <w:sz w:val="20"/>
          <w:szCs w:val="20"/>
        </w:rPr>
        <w:t xml:space="preserve">Improvements in the analytical sensitivity of clinically available assays have enabled safer discharge rates and admissions in emergency departments.  </w:t>
      </w:r>
      <w:r>
        <w:rPr>
          <w:rFonts w:ascii="Open Sans" w:hAnsi="Open Sans" w:cs="Open Sans"/>
          <w:sz w:val="20"/>
          <w:szCs w:val="20"/>
        </w:rPr>
        <w:t xml:space="preserve">With the advent of new techniques, emergency departments are identifying </w:t>
      </w:r>
      <w:r w:rsidRPr="001318F3">
        <w:rPr>
          <w:rFonts w:ascii="Open Sans" w:hAnsi="Open Sans" w:cs="Open Sans"/>
          <w:sz w:val="20"/>
          <w:szCs w:val="20"/>
        </w:rPr>
        <w:t>patients at high risk for adverse cardiac events</w:t>
      </w:r>
      <w:r>
        <w:rPr>
          <w:rFonts w:ascii="Open Sans" w:hAnsi="Open Sans" w:cs="Open Sans"/>
          <w:sz w:val="20"/>
          <w:szCs w:val="20"/>
        </w:rPr>
        <w:t xml:space="preserve"> in shorter time frames based on elevated </w:t>
      </w:r>
      <w:r w:rsidRPr="001318F3">
        <w:rPr>
          <w:rFonts w:ascii="Open Sans" w:hAnsi="Open Sans" w:cs="Open Sans"/>
          <w:sz w:val="20"/>
          <w:szCs w:val="20"/>
        </w:rPr>
        <w:t>troponin levels</w:t>
      </w:r>
      <w:r>
        <w:rPr>
          <w:rFonts w:ascii="Open Sans" w:hAnsi="Open Sans" w:cs="Open Sans"/>
          <w:sz w:val="20"/>
          <w:szCs w:val="20"/>
        </w:rPr>
        <w:t>.</w:t>
      </w:r>
    </w:p>
    <w:p w14:paraId="1FCE138C" w14:textId="00914507" w:rsidR="001A307A" w:rsidRDefault="00AB4649" w:rsidP="00D61A34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Further research is needed to discover a truly</w:t>
      </w:r>
      <w:r w:rsidR="001A307A">
        <w:rPr>
          <w:rFonts w:ascii="Open Sans" w:hAnsi="Open Sans" w:cs="Open Sans"/>
          <w:sz w:val="20"/>
          <w:szCs w:val="20"/>
        </w:rPr>
        <w:t xml:space="preserve"> ideal biomarker for rapid and reliable AMI</w:t>
      </w:r>
      <w:r>
        <w:rPr>
          <w:rFonts w:ascii="Open Sans" w:hAnsi="Open Sans" w:cs="Open Sans"/>
          <w:sz w:val="20"/>
          <w:szCs w:val="20"/>
        </w:rPr>
        <w:t xml:space="preserve"> diagnosis and management.  The</w:t>
      </w:r>
      <w:r w:rsidR="001A307A">
        <w:rPr>
          <w:rFonts w:ascii="Open Sans" w:hAnsi="Open Sans" w:cs="Open Sans"/>
          <w:sz w:val="20"/>
          <w:szCs w:val="20"/>
        </w:rPr>
        <w:t xml:space="preserve"> increased sensitivity </w:t>
      </w:r>
      <w:r w:rsidR="00743CD3">
        <w:rPr>
          <w:rFonts w:ascii="Open Sans" w:hAnsi="Open Sans" w:cs="Open Sans"/>
          <w:sz w:val="20"/>
          <w:szCs w:val="20"/>
        </w:rPr>
        <w:t>in</w:t>
      </w:r>
      <w:r w:rsidR="001A307A">
        <w:rPr>
          <w:rFonts w:ascii="Open Sans" w:hAnsi="Open Sans" w:cs="Open Sans"/>
          <w:sz w:val="20"/>
          <w:szCs w:val="20"/>
        </w:rPr>
        <w:t xml:space="preserve"> modern troponin assays provide</w:t>
      </w:r>
      <w:r w:rsidR="00743CD3">
        <w:rPr>
          <w:rFonts w:ascii="Open Sans" w:hAnsi="Open Sans" w:cs="Open Sans"/>
          <w:sz w:val="20"/>
          <w:szCs w:val="20"/>
        </w:rPr>
        <w:t>s</w:t>
      </w:r>
      <w:r w:rsidR="001A307A">
        <w:rPr>
          <w:rFonts w:ascii="Open Sans" w:hAnsi="Open Sans" w:cs="Open Sans"/>
          <w:sz w:val="20"/>
          <w:szCs w:val="20"/>
        </w:rPr>
        <w:t xml:space="preserve"> valuable </w:t>
      </w:r>
      <w:r w:rsidR="00743CD3">
        <w:rPr>
          <w:rFonts w:ascii="Open Sans" w:hAnsi="Open Sans" w:cs="Open Sans"/>
          <w:sz w:val="20"/>
          <w:szCs w:val="20"/>
        </w:rPr>
        <w:t>information</w:t>
      </w:r>
      <w:r>
        <w:rPr>
          <w:rFonts w:ascii="Open Sans" w:hAnsi="Open Sans" w:cs="Open Sans"/>
          <w:sz w:val="20"/>
          <w:szCs w:val="20"/>
        </w:rPr>
        <w:t>—at the cost of specificity.  Nearly two-thirds of patients with high-risk troponin levels do not have AMI</w:t>
      </w:r>
      <w:sdt>
        <w:sdtPr>
          <w:rPr>
            <w:rFonts w:ascii="Open Sans" w:hAnsi="Open Sans" w:cs="Open Sans"/>
            <w:sz w:val="20"/>
            <w:szCs w:val="20"/>
          </w:rPr>
          <w:id w:val="943572084"/>
          <w:citation/>
        </w:sdtPr>
        <w:sdtEndPr/>
        <w:sdtContent>
          <w:r>
            <w:rPr>
              <w:rFonts w:ascii="Open Sans" w:hAnsi="Open Sans" w:cs="Open Sans"/>
              <w:sz w:val="20"/>
              <w:szCs w:val="20"/>
            </w:rPr>
            <w:fldChar w:fldCharType="begin"/>
          </w:r>
          <w:r>
            <w:rPr>
              <w:rFonts w:ascii="Open Sans" w:hAnsi="Open Sans" w:cs="Open Sans"/>
              <w:sz w:val="20"/>
              <w:szCs w:val="20"/>
            </w:rPr>
            <w:instrText xml:space="preserve">CITATION Til11 \l 1033 </w:instrText>
          </w:r>
          <w:r>
            <w:rPr>
              <w:rFonts w:ascii="Open Sans" w:hAnsi="Open Sans" w:cs="Open Sans"/>
              <w:sz w:val="20"/>
              <w:szCs w:val="20"/>
            </w:rPr>
            <w:fldChar w:fldCharType="separate"/>
          </w:r>
          <w:r>
            <w:rPr>
              <w:rFonts w:ascii="Open Sans" w:hAnsi="Open Sans" w:cs="Open Sans"/>
              <w:noProof/>
              <w:sz w:val="20"/>
              <w:szCs w:val="20"/>
            </w:rPr>
            <w:t xml:space="preserve"> </w:t>
          </w:r>
          <w:r w:rsidRPr="00AB4649">
            <w:rPr>
              <w:rFonts w:ascii="Open Sans" w:hAnsi="Open Sans" w:cs="Open Sans"/>
              <w:noProof/>
              <w:sz w:val="20"/>
              <w:szCs w:val="20"/>
            </w:rPr>
            <w:t>(Tilea, Varga, &amp; Serban, 2021)</w:t>
          </w:r>
          <w:r>
            <w:rPr>
              <w:rFonts w:ascii="Open Sans" w:hAnsi="Open Sans" w:cs="Open Sans"/>
              <w:sz w:val="20"/>
              <w:szCs w:val="20"/>
            </w:rPr>
            <w:fldChar w:fldCharType="end"/>
          </w:r>
        </w:sdtContent>
      </w:sdt>
      <w:r>
        <w:rPr>
          <w:rFonts w:ascii="Open Sans" w:hAnsi="Open Sans" w:cs="Open Sans"/>
          <w:sz w:val="20"/>
          <w:szCs w:val="20"/>
        </w:rPr>
        <w:t>.</w:t>
      </w:r>
    </w:p>
    <w:p w14:paraId="2F75F604" w14:textId="6B75AD2A" w:rsidR="00AB4649" w:rsidRDefault="00AB4649" w:rsidP="00D61A34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 combination of biomarkers can </w:t>
      </w:r>
      <w:r w:rsidR="00743CD3">
        <w:rPr>
          <w:rFonts w:ascii="Open Sans" w:hAnsi="Open Sans" w:cs="Open Sans"/>
          <w:sz w:val="20"/>
          <w:szCs w:val="20"/>
        </w:rPr>
        <w:t>paint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743CD3">
        <w:rPr>
          <w:rFonts w:ascii="Open Sans" w:hAnsi="Open Sans" w:cs="Open Sans"/>
          <w:sz w:val="20"/>
          <w:szCs w:val="20"/>
        </w:rPr>
        <w:t>a more complete picture</w:t>
      </w:r>
      <w:r>
        <w:rPr>
          <w:rFonts w:ascii="Open Sans" w:hAnsi="Open Sans" w:cs="Open Sans"/>
          <w:sz w:val="20"/>
          <w:szCs w:val="20"/>
        </w:rPr>
        <w:t xml:space="preserve"> about the physiological nature of myocardial stress.  Multi-biomarker assessment, based on disease pathology, </w:t>
      </w:r>
      <w:r w:rsidR="00743CD3">
        <w:rPr>
          <w:rFonts w:ascii="Open Sans" w:hAnsi="Open Sans" w:cs="Open Sans"/>
          <w:sz w:val="20"/>
          <w:szCs w:val="20"/>
        </w:rPr>
        <w:t>follows a variety of mechanisms to relay</w:t>
      </w:r>
      <w:r>
        <w:rPr>
          <w:rFonts w:ascii="Open Sans" w:hAnsi="Open Sans" w:cs="Open Sans"/>
          <w:sz w:val="20"/>
          <w:szCs w:val="20"/>
        </w:rPr>
        <w:t xml:space="preserve"> the nature and scope of damage to the heart.  </w:t>
      </w:r>
      <w:r w:rsidR="009E015C">
        <w:rPr>
          <w:rFonts w:ascii="Open Sans" w:hAnsi="Open Sans" w:cs="Open Sans"/>
          <w:sz w:val="20"/>
          <w:szCs w:val="20"/>
        </w:rPr>
        <w:t>For example, the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FF7ABB">
        <w:rPr>
          <w:rFonts w:ascii="Open Sans" w:hAnsi="Open Sans" w:cs="Open Sans"/>
          <w:sz w:val="20"/>
          <w:szCs w:val="20"/>
        </w:rPr>
        <w:t xml:space="preserve">Cardiac Markers Control </w:t>
      </w:r>
      <w:r w:rsidR="009E015C">
        <w:rPr>
          <w:rFonts w:ascii="Open Sans" w:hAnsi="Open Sans" w:cs="Open Sans"/>
          <w:sz w:val="20"/>
          <w:szCs w:val="20"/>
        </w:rPr>
        <w:t xml:space="preserve">used by Storrow et al. (More Diagnostics, Inc., Los Osos, CA) </w:t>
      </w:r>
      <w:r w:rsidR="00743CD3">
        <w:rPr>
          <w:rFonts w:ascii="Open Sans" w:hAnsi="Open Sans" w:cs="Open Sans"/>
          <w:sz w:val="20"/>
          <w:szCs w:val="20"/>
        </w:rPr>
        <w:t>contains</w:t>
      </w:r>
      <w:r w:rsidR="000321FB">
        <w:rPr>
          <w:rFonts w:ascii="Open Sans" w:hAnsi="Open Sans" w:cs="Open Sans"/>
          <w:sz w:val="20"/>
          <w:szCs w:val="20"/>
        </w:rPr>
        <w:t xml:space="preserve"> </w:t>
      </w:r>
      <w:r w:rsidR="009E015C">
        <w:rPr>
          <w:rFonts w:ascii="Open Sans" w:hAnsi="Open Sans" w:cs="Open Sans"/>
          <w:sz w:val="20"/>
          <w:szCs w:val="20"/>
        </w:rPr>
        <w:t>a total of four</w:t>
      </w:r>
      <w:r w:rsidR="000321FB">
        <w:rPr>
          <w:rFonts w:ascii="Open Sans" w:hAnsi="Open Sans" w:cs="Open Sans"/>
          <w:sz w:val="20"/>
          <w:szCs w:val="20"/>
        </w:rPr>
        <w:t xml:space="preserve"> proteins</w:t>
      </w:r>
      <w:r w:rsidR="009E015C">
        <w:rPr>
          <w:rFonts w:ascii="Open Sans" w:hAnsi="Open Sans" w:cs="Open Sans"/>
          <w:sz w:val="20"/>
          <w:szCs w:val="20"/>
        </w:rPr>
        <w:t xml:space="preserve"> (myoglobin, CKMB, CRP, in addition to cardiac troponin).</w:t>
      </w:r>
      <w:r w:rsidR="00EE4F64">
        <w:rPr>
          <w:rFonts w:ascii="Open Sans" w:hAnsi="Open Sans" w:cs="Open Sans"/>
          <w:sz w:val="20"/>
          <w:szCs w:val="20"/>
        </w:rPr>
        <w:t xml:space="preserve"> </w:t>
      </w:r>
      <w:r w:rsidR="009E015C">
        <w:rPr>
          <w:rFonts w:ascii="Open Sans" w:hAnsi="Open Sans" w:cs="Open Sans"/>
          <w:sz w:val="20"/>
          <w:szCs w:val="20"/>
        </w:rPr>
        <w:t xml:space="preserve"> These are in turn </w:t>
      </w:r>
      <w:r w:rsidR="00EE4F64">
        <w:rPr>
          <w:rFonts w:ascii="Open Sans" w:hAnsi="Open Sans" w:cs="Open Sans"/>
          <w:sz w:val="20"/>
          <w:szCs w:val="20"/>
        </w:rPr>
        <w:t xml:space="preserve">dosed at three </w:t>
      </w:r>
      <w:r w:rsidR="000B00DC">
        <w:rPr>
          <w:rFonts w:ascii="Open Sans" w:hAnsi="Open Sans" w:cs="Open Sans"/>
          <w:sz w:val="20"/>
          <w:szCs w:val="20"/>
        </w:rPr>
        <w:t>clinically relevant</w:t>
      </w:r>
      <w:r w:rsidR="00EE4F64">
        <w:rPr>
          <w:rFonts w:ascii="Open Sans" w:hAnsi="Open Sans" w:cs="Open Sans"/>
          <w:sz w:val="20"/>
          <w:szCs w:val="20"/>
        </w:rPr>
        <w:t xml:space="preserve"> levels</w:t>
      </w:r>
      <w:r w:rsidR="000321FB">
        <w:rPr>
          <w:rFonts w:ascii="Open Sans" w:hAnsi="Open Sans" w:cs="Open Sans"/>
          <w:sz w:val="20"/>
          <w:szCs w:val="20"/>
        </w:rPr>
        <w:t xml:space="preserve"> that correlate with the progression of AMI.  </w:t>
      </w:r>
    </w:p>
    <w:p w14:paraId="7D63E124" w14:textId="7BC10C19" w:rsidR="000213EB" w:rsidRDefault="000213EB" w:rsidP="00D61A34">
      <w:pPr>
        <w:rPr>
          <w:rFonts w:ascii="Open Sans" w:hAnsi="Open Sans" w:cs="Open Sans"/>
          <w:sz w:val="20"/>
          <w:szCs w:val="20"/>
        </w:rPr>
      </w:pPr>
    </w:p>
    <w:p w14:paraId="37FA1C2F" w14:textId="7C15965C" w:rsidR="000213EB" w:rsidRPr="000213EB" w:rsidRDefault="00EE4F64" w:rsidP="00D61A34">
      <w:pPr>
        <w:rPr>
          <w:rFonts w:ascii="Open Sans Semibold" w:hAnsi="Open Sans Semibold" w:cs="Open Sans Semibold"/>
          <w:b/>
          <w:bCs/>
          <w:i/>
          <w:iCs/>
          <w:sz w:val="20"/>
          <w:szCs w:val="20"/>
        </w:rPr>
      </w:pPr>
      <w:r>
        <w:rPr>
          <w:rFonts w:ascii="Open Sans Semibold" w:hAnsi="Open Sans Semibold" w:cs="Open Sans Semibold"/>
          <w:b/>
          <w:bCs/>
          <w:i/>
          <w:iCs/>
          <w:sz w:val="20"/>
          <w:szCs w:val="20"/>
        </w:rPr>
        <w:lastRenderedPageBreak/>
        <w:t>Keeping on top of a</w:t>
      </w:r>
      <w:r w:rsidR="000213EB">
        <w:rPr>
          <w:rFonts w:ascii="Open Sans Semibold" w:hAnsi="Open Sans Semibold" w:cs="Open Sans Semibold"/>
          <w:b/>
          <w:bCs/>
          <w:i/>
          <w:iCs/>
          <w:sz w:val="20"/>
          <w:szCs w:val="20"/>
        </w:rPr>
        <w:t>nalytical results</w:t>
      </w:r>
    </w:p>
    <w:p w14:paraId="3CDDC312" w14:textId="29B7B538" w:rsidR="000321FB" w:rsidRDefault="0079656D" w:rsidP="00D61A34">
      <w:pPr>
        <w:rPr>
          <w:rFonts w:ascii="Open Sans" w:hAnsi="Open Sans" w:cs="Open Sans"/>
          <w:sz w:val="20"/>
          <w:szCs w:val="20"/>
        </w:rPr>
      </w:pPr>
      <w:r w:rsidRPr="001318F3">
        <w:rPr>
          <w:rFonts w:ascii="Open Sans" w:hAnsi="Open Sans" w:cs="Open Sans"/>
          <w:sz w:val="20"/>
          <w:szCs w:val="20"/>
        </w:rPr>
        <w:t xml:space="preserve">Managing patients by </w:t>
      </w:r>
      <w:r w:rsidR="000321FB">
        <w:rPr>
          <w:rFonts w:ascii="Open Sans" w:hAnsi="Open Sans" w:cs="Open Sans"/>
          <w:sz w:val="20"/>
          <w:szCs w:val="20"/>
        </w:rPr>
        <w:t xml:space="preserve">their blood levels </w:t>
      </w:r>
      <w:r w:rsidR="000321FB" w:rsidRPr="001318F3">
        <w:rPr>
          <w:rFonts w:ascii="Open Sans" w:hAnsi="Open Sans" w:cs="Open Sans"/>
          <w:sz w:val="20"/>
          <w:szCs w:val="20"/>
        </w:rPr>
        <w:t xml:space="preserve">does have several caveats for implementation.  </w:t>
      </w:r>
      <w:r w:rsidR="000321FB">
        <w:rPr>
          <w:rFonts w:ascii="Open Sans" w:hAnsi="Open Sans" w:cs="Open Sans"/>
          <w:sz w:val="20"/>
          <w:szCs w:val="20"/>
        </w:rPr>
        <w:t xml:space="preserve">In practice, </w:t>
      </w:r>
      <w:r w:rsidR="000321FB" w:rsidRPr="001318F3">
        <w:rPr>
          <w:rFonts w:ascii="Open Sans" w:hAnsi="Open Sans" w:cs="Open Sans"/>
          <w:sz w:val="20"/>
          <w:szCs w:val="20"/>
        </w:rPr>
        <w:t xml:space="preserve">laboratories need to be mindful of the precision and sensitivity of their </w:t>
      </w:r>
      <w:proofErr w:type="gramStart"/>
      <w:r w:rsidR="000321FB" w:rsidRPr="001318F3">
        <w:rPr>
          <w:rFonts w:ascii="Open Sans" w:hAnsi="Open Sans" w:cs="Open Sans"/>
          <w:sz w:val="20"/>
          <w:szCs w:val="20"/>
        </w:rPr>
        <w:t>particular systems</w:t>
      </w:r>
      <w:proofErr w:type="gramEnd"/>
      <w:r w:rsidR="000321FB" w:rsidRPr="001318F3">
        <w:rPr>
          <w:rFonts w:ascii="Open Sans" w:hAnsi="Open Sans" w:cs="Open Sans"/>
          <w:sz w:val="20"/>
          <w:szCs w:val="20"/>
        </w:rPr>
        <w:t xml:space="preserve">.  </w:t>
      </w:r>
      <w:r w:rsidR="000321FB">
        <w:rPr>
          <w:rFonts w:ascii="Open Sans" w:hAnsi="Open Sans" w:cs="Open Sans"/>
          <w:sz w:val="20"/>
          <w:szCs w:val="20"/>
        </w:rPr>
        <w:t xml:space="preserve">This is evidenced by the importance of reporting the CV of any assay, including those that identify </w:t>
      </w:r>
      <w:r w:rsidR="000321FB" w:rsidRPr="001318F3">
        <w:rPr>
          <w:rFonts w:ascii="Open Sans" w:hAnsi="Open Sans" w:cs="Open Sans"/>
          <w:sz w:val="20"/>
          <w:szCs w:val="20"/>
        </w:rPr>
        <w:t>low-level changes in troponin</w:t>
      </w:r>
      <w:r w:rsidR="000321FB">
        <w:rPr>
          <w:rFonts w:ascii="Open Sans" w:hAnsi="Open Sans" w:cs="Open Sans"/>
          <w:sz w:val="20"/>
          <w:szCs w:val="20"/>
        </w:rPr>
        <w:t>.</w:t>
      </w:r>
    </w:p>
    <w:p w14:paraId="381892AA" w14:textId="66D46B90" w:rsidR="007C13E9" w:rsidRPr="001318F3" w:rsidRDefault="00743CD3" w:rsidP="00D61A34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Every second counts when it comes to coronary artery disease.  </w:t>
      </w:r>
      <w:r w:rsidR="000213EB">
        <w:rPr>
          <w:rFonts w:ascii="Open Sans" w:hAnsi="Open Sans" w:cs="Open Sans"/>
          <w:sz w:val="20"/>
          <w:szCs w:val="20"/>
        </w:rPr>
        <w:t>Symptomatic p</w:t>
      </w:r>
      <w:r>
        <w:rPr>
          <w:rFonts w:ascii="Open Sans" w:hAnsi="Open Sans" w:cs="Open Sans"/>
          <w:sz w:val="20"/>
          <w:szCs w:val="20"/>
        </w:rPr>
        <w:t xml:space="preserve">atients gain admittance </w:t>
      </w:r>
      <w:r w:rsidR="000213EB">
        <w:rPr>
          <w:rFonts w:ascii="Open Sans" w:hAnsi="Open Sans" w:cs="Open Sans"/>
          <w:sz w:val="20"/>
          <w:szCs w:val="20"/>
        </w:rPr>
        <w:t>when they are in the late stages of disease and intervention is crucial</w:t>
      </w:r>
      <w:r w:rsidR="000321FB">
        <w:rPr>
          <w:rFonts w:ascii="Open Sans" w:hAnsi="Open Sans" w:cs="Open Sans"/>
          <w:sz w:val="20"/>
          <w:szCs w:val="20"/>
        </w:rPr>
        <w:t xml:space="preserve">.  </w:t>
      </w:r>
      <w:r w:rsidR="00162270" w:rsidRPr="001318F3">
        <w:rPr>
          <w:rFonts w:ascii="Open Sans" w:hAnsi="Open Sans" w:cs="Open Sans"/>
          <w:sz w:val="20"/>
          <w:szCs w:val="20"/>
        </w:rPr>
        <w:t xml:space="preserve">Introducing the optimal quality tools, diagnostic thresholds, and patient sampling protocols </w:t>
      </w:r>
      <w:r w:rsidR="0079656D" w:rsidRPr="001318F3">
        <w:rPr>
          <w:rFonts w:ascii="Open Sans" w:hAnsi="Open Sans" w:cs="Open Sans"/>
          <w:sz w:val="20"/>
          <w:szCs w:val="20"/>
        </w:rPr>
        <w:t>can make</w:t>
      </w:r>
      <w:r w:rsidR="00162270" w:rsidRPr="001318F3">
        <w:rPr>
          <w:rFonts w:ascii="Open Sans" w:hAnsi="Open Sans" w:cs="Open Sans"/>
          <w:sz w:val="20"/>
          <w:szCs w:val="20"/>
        </w:rPr>
        <w:t xml:space="preserve"> the difference between ruling</w:t>
      </w:r>
      <w:r w:rsidR="003359B9" w:rsidRPr="001318F3">
        <w:rPr>
          <w:rFonts w:ascii="Open Sans" w:hAnsi="Open Sans" w:cs="Open Sans"/>
          <w:sz w:val="20"/>
          <w:szCs w:val="20"/>
        </w:rPr>
        <w:t>-</w:t>
      </w:r>
      <w:r w:rsidR="00162270" w:rsidRPr="001318F3">
        <w:rPr>
          <w:rFonts w:ascii="Open Sans" w:hAnsi="Open Sans" w:cs="Open Sans"/>
          <w:sz w:val="20"/>
          <w:szCs w:val="20"/>
        </w:rPr>
        <w:t xml:space="preserve">in or </w:t>
      </w:r>
      <w:r w:rsidR="003359B9" w:rsidRPr="001318F3">
        <w:rPr>
          <w:rFonts w:ascii="Open Sans" w:hAnsi="Open Sans" w:cs="Open Sans"/>
          <w:sz w:val="20"/>
          <w:szCs w:val="20"/>
        </w:rPr>
        <w:t>-</w:t>
      </w:r>
      <w:r w:rsidR="00162270" w:rsidRPr="001318F3">
        <w:rPr>
          <w:rFonts w:ascii="Open Sans" w:hAnsi="Open Sans" w:cs="Open Sans"/>
          <w:sz w:val="20"/>
          <w:szCs w:val="20"/>
        </w:rPr>
        <w:t>out AMI in an emergency department</w:t>
      </w:r>
      <w:r w:rsidR="0079656D" w:rsidRPr="001318F3">
        <w:rPr>
          <w:rFonts w:ascii="Open Sans" w:hAnsi="Open Sans" w:cs="Open Sans"/>
          <w:sz w:val="20"/>
          <w:szCs w:val="20"/>
        </w:rPr>
        <w:t>—and saving a life.</w:t>
      </w:r>
    </w:p>
    <w:p w14:paraId="650D0D23" w14:textId="28F4AFD2" w:rsidR="00CE13B7" w:rsidRPr="001318F3" w:rsidRDefault="00CE13B7" w:rsidP="00D61A34">
      <w:pPr>
        <w:rPr>
          <w:rFonts w:ascii="Open Sans" w:hAnsi="Open Sans" w:cs="Open Sans"/>
          <w:sz w:val="20"/>
          <w:szCs w:val="20"/>
        </w:rPr>
      </w:pPr>
    </w:p>
    <w:p w14:paraId="4E09D804" w14:textId="40B44A1E" w:rsidR="00AA0818" w:rsidRPr="001318F3" w:rsidRDefault="00AA0818" w:rsidP="00D61A34">
      <w:pPr>
        <w:rPr>
          <w:rFonts w:ascii="Open Sans Semibold" w:hAnsi="Open Sans Semibold" w:cs="Open Sans Semibold"/>
          <w:b/>
          <w:bCs/>
          <w:i/>
          <w:iCs/>
          <w:sz w:val="20"/>
          <w:szCs w:val="20"/>
        </w:rPr>
      </w:pPr>
      <w:r w:rsidRPr="001318F3">
        <w:rPr>
          <w:rFonts w:ascii="Open Sans Semibold" w:hAnsi="Open Sans Semibold" w:cs="Open Sans Semibold"/>
          <w:b/>
          <w:bCs/>
          <w:i/>
          <w:iCs/>
          <w:sz w:val="20"/>
          <w:szCs w:val="20"/>
        </w:rPr>
        <w:t>References</w:t>
      </w:r>
    </w:p>
    <w:p w14:paraId="32B3DF20" w14:textId="77777777" w:rsidR="00BA0B61" w:rsidRDefault="00AA0818" w:rsidP="00BA0B61">
      <w:pPr>
        <w:pStyle w:val="Bibliography"/>
        <w:ind w:left="720" w:hanging="720"/>
        <w:rPr>
          <w:noProof/>
          <w:sz w:val="24"/>
          <w:szCs w:val="24"/>
        </w:rPr>
      </w:pPr>
      <w:r w:rsidRPr="001318F3">
        <w:rPr>
          <w:rFonts w:ascii="Open Sans" w:hAnsi="Open Sans" w:cs="Open Sans"/>
          <w:sz w:val="20"/>
          <w:szCs w:val="20"/>
        </w:rPr>
        <w:fldChar w:fldCharType="begin"/>
      </w:r>
      <w:r w:rsidRPr="001318F3">
        <w:rPr>
          <w:rFonts w:ascii="Open Sans" w:hAnsi="Open Sans" w:cs="Open Sans"/>
          <w:sz w:val="20"/>
          <w:szCs w:val="20"/>
        </w:rPr>
        <w:instrText xml:space="preserve"> BIBLIOGRAPHY  \l 1033 </w:instrText>
      </w:r>
      <w:r w:rsidRPr="001318F3">
        <w:rPr>
          <w:rFonts w:ascii="Open Sans" w:hAnsi="Open Sans" w:cs="Open Sans"/>
          <w:sz w:val="20"/>
          <w:szCs w:val="20"/>
        </w:rPr>
        <w:fldChar w:fldCharType="separate"/>
      </w:r>
      <w:r w:rsidR="00BA0B61">
        <w:rPr>
          <w:noProof/>
        </w:rPr>
        <w:t xml:space="preserve">Aloisio, E., Pasqualetti, S., &amp; al. (2020). Daily Monitoring of a Control Material with a Concentration Near the Limit of Detection Improves the Measurement Accuracy of Highly Sensitive Troponin Assays. </w:t>
      </w:r>
      <w:r w:rsidR="00BA0B61">
        <w:rPr>
          <w:i/>
          <w:iCs/>
          <w:noProof/>
        </w:rPr>
        <w:t>Clinical Chemistry and Laboratory Medicine</w:t>
      </w:r>
      <w:r w:rsidR="00BA0B61">
        <w:rPr>
          <w:noProof/>
        </w:rPr>
        <w:t>, 29-31.</w:t>
      </w:r>
    </w:p>
    <w:p w14:paraId="39838E9D" w14:textId="77777777" w:rsidR="00BA0B61" w:rsidRDefault="00BA0B61" w:rsidP="00BA0B61">
      <w:pPr>
        <w:pStyle w:val="Bibliography"/>
        <w:ind w:left="720" w:hanging="720"/>
        <w:rPr>
          <w:noProof/>
        </w:rPr>
      </w:pPr>
      <w:r>
        <w:rPr>
          <w:noProof/>
        </w:rPr>
        <w:t xml:space="preserve">ESC. (2000). Myocardial Infarction Redefined—A Consensus Document of The Joint European Society of Cardiology/American College of Cardiology Committee for the Redefinition of Myocardial Infarction. </w:t>
      </w:r>
      <w:r>
        <w:rPr>
          <w:i/>
          <w:iCs/>
          <w:noProof/>
        </w:rPr>
        <w:t>European Heart Journal</w:t>
      </w:r>
      <w:r>
        <w:rPr>
          <w:noProof/>
        </w:rPr>
        <w:t>, 1502-1513.</w:t>
      </w:r>
    </w:p>
    <w:p w14:paraId="0702FB86" w14:textId="77777777" w:rsidR="00BA0B61" w:rsidRDefault="00BA0B61" w:rsidP="00BA0B61">
      <w:pPr>
        <w:pStyle w:val="Bibliography"/>
        <w:ind w:left="720" w:hanging="720"/>
        <w:rPr>
          <w:noProof/>
        </w:rPr>
      </w:pPr>
      <w:r>
        <w:rPr>
          <w:noProof/>
        </w:rPr>
        <w:t xml:space="preserve">Mendis, S., Puska, P., &amp; Norrving, B. G. (2011). </w:t>
      </w:r>
      <w:r>
        <w:rPr>
          <w:i/>
          <w:iCs/>
          <w:noProof/>
        </w:rPr>
        <w:t>Global Atlas on Cardiovascular Disease Prevention and Control.</w:t>
      </w:r>
      <w:r>
        <w:rPr>
          <w:noProof/>
        </w:rPr>
        <w:t xml:space="preserve"> Geneva, Switzerland: World Health Organization.</w:t>
      </w:r>
    </w:p>
    <w:p w14:paraId="1877F908" w14:textId="77777777" w:rsidR="00BA0B61" w:rsidRDefault="00BA0B61" w:rsidP="00BA0B61">
      <w:pPr>
        <w:pStyle w:val="Bibliography"/>
        <w:ind w:left="720" w:hanging="720"/>
        <w:rPr>
          <w:noProof/>
        </w:rPr>
      </w:pPr>
      <w:r>
        <w:rPr>
          <w:noProof/>
        </w:rPr>
        <w:t xml:space="preserve">NCHS. (2018). </w:t>
      </w:r>
      <w:r>
        <w:rPr>
          <w:i/>
          <w:iCs/>
          <w:noProof/>
        </w:rPr>
        <w:t>National Center for Health Statistics: National Hospital Ambulatory Medical Care Survey.</w:t>
      </w:r>
      <w:r>
        <w:rPr>
          <w:noProof/>
        </w:rPr>
        <w:t xml:space="preserve"> Centers for Disease Control and Prevention.</w:t>
      </w:r>
    </w:p>
    <w:p w14:paraId="4D9967F8" w14:textId="77777777" w:rsidR="00BA0B61" w:rsidRDefault="00BA0B61" w:rsidP="00BA0B61">
      <w:pPr>
        <w:pStyle w:val="Bibliography"/>
        <w:ind w:left="720" w:hanging="720"/>
        <w:rPr>
          <w:noProof/>
        </w:rPr>
      </w:pPr>
      <w:r>
        <w:rPr>
          <w:noProof/>
        </w:rPr>
        <w:t xml:space="preserve">Oliveira, A., Glasgow, K., &amp; al. (2018). Acute Myocardial Infarction: Definition, Diagnosis, and the Evolution of Cardiac Markers. </w:t>
      </w:r>
      <w:r>
        <w:rPr>
          <w:i/>
          <w:iCs/>
          <w:noProof/>
        </w:rPr>
        <w:t>Clinical Laboratory Science</w:t>
      </w:r>
      <w:r>
        <w:rPr>
          <w:noProof/>
        </w:rPr>
        <w:t>, 1-16.</w:t>
      </w:r>
    </w:p>
    <w:p w14:paraId="11367A8D" w14:textId="77777777" w:rsidR="00BA0B61" w:rsidRDefault="00BA0B61" w:rsidP="00BA0B61">
      <w:pPr>
        <w:pStyle w:val="Bibliography"/>
        <w:ind w:left="720" w:hanging="720"/>
        <w:rPr>
          <w:noProof/>
        </w:rPr>
      </w:pPr>
      <w:r>
        <w:rPr>
          <w:noProof/>
        </w:rPr>
        <w:t xml:space="preserve">Peacock, W. F., Christenson, R., &amp; al. (2020). Myocardial Infarction Can Be Safely Excluded by High-sensitivity Troponin I Testing 3 Hours After Emergency Department Presentation. </w:t>
      </w:r>
      <w:r>
        <w:rPr>
          <w:i/>
          <w:iCs/>
          <w:noProof/>
        </w:rPr>
        <w:t>Academic Emergency Medicine</w:t>
      </w:r>
      <w:r>
        <w:rPr>
          <w:noProof/>
        </w:rPr>
        <w:t>, 671-680.</w:t>
      </w:r>
    </w:p>
    <w:p w14:paraId="72082473" w14:textId="77777777" w:rsidR="00BA0B61" w:rsidRDefault="00BA0B61" w:rsidP="00BA0B61">
      <w:pPr>
        <w:pStyle w:val="Bibliography"/>
        <w:ind w:left="720" w:hanging="720"/>
        <w:rPr>
          <w:noProof/>
        </w:rPr>
      </w:pPr>
      <w:r>
        <w:rPr>
          <w:noProof/>
        </w:rPr>
        <w:t xml:space="preserve">Schreiber, D. (2018). </w:t>
      </w:r>
      <w:r>
        <w:rPr>
          <w:i/>
          <w:iCs/>
          <w:noProof/>
        </w:rPr>
        <w:t>Cardiac Markers.</w:t>
      </w:r>
      <w:r>
        <w:rPr>
          <w:noProof/>
        </w:rPr>
        <w:t xml:space="preserve"> Medscape.</w:t>
      </w:r>
    </w:p>
    <w:p w14:paraId="3D6B3694" w14:textId="77777777" w:rsidR="00BA0B61" w:rsidRDefault="00BA0B61" w:rsidP="00BA0B61">
      <w:pPr>
        <w:pStyle w:val="Bibliography"/>
        <w:ind w:left="720" w:hanging="720"/>
        <w:rPr>
          <w:noProof/>
        </w:rPr>
      </w:pPr>
      <w:r>
        <w:rPr>
          <w:noProof/>
        </w:rPr>
        <w:t xml:space="preserve">Storrow, A. B., Christenson, R. H., &amp; al. (2015). Diagnostic Performance of Cardiac Troponin I for Early Rule-in and Rule-out of Acute Myocardial Infarction: Results of a Prospective Multicenter Trial. </w:t>
      </w:r>
      <w:r>
        <w:rPr>
          <w:i/>
          <w:iCs/>
          <w:noProof/>
        </w:rPr>
        <w:t>Clinical Biochemistry</w:t>
      </w:r>
      <w:r>
        <w:rPr>
          <w:noProof/>
        </w:rPr>
        <w:t>, 254-259.</w:t>
      </w:r>
    </w:p>
    <w:p w14:paraId="5519ADB2" w14:textId="77777777" w:rsidR="00BA0B61" w:rsidRDefault="00BA0B61" w:rsidP="00BA0B61">
      <w:pPr>
        <w:pStyle w:val="Bibliography"/>
        <w:ind w:left="720" w:hanging="720"/>
        <w:rPr>
          <w:noProof/>
        </w:rPr>
      </w:pPr>
      <w:r>
        <w:rPr>
          <w:noProof/>
        </w:rPr>
        <w:t xml:space="preserve">Tilea, I., Varga, A., &amp; Serban, R. (2021). Past, Present, and Future of Blood Biomarkers for the Diagnosis of Acute Myocardial Infarction--Promises and Challenges. </w:t>
      </w:r>
      <w:r>
        <w:rPr>
          <w:i/>
          <w:iCs/>
          <w:noProof/>
        </w:rPr>
        <w:t>Diagnostics</w:t>
      </w:r>
      <w:r>
        <w:rPr>
          <w:noProof/>
        </w:rPr>
        <w:t>, 1-19.</w:t>
      </w:r>
    </w:p>
    <w:p w14:paraId="55296F03" w14:textId="77777777" w:rsidR="00BA0B61" w:rsidRDefault="00BA0B61" w:rsidP="00BA0B61">
      <w:pPr>
        <w:pStyle w:val="Bibliography"/>
        <w:ind w:left="720" w:hanging="720"/>
        <w:rPr>
          <w:noProof/>
        </w:rPr>
      </w:pPr>
      <w:r>
        <w:rPr>
          <w:noProof/>
        </w:rPr>
        <w:t xml:space="preserve">WHO. (2021). </w:t>
      </w:r>
      <w:r>
        <w:rPr>
          <w:i/>
          <w:iCs/>
          <w:noProof/>
        </w:rPr>
        <w:t>Cardiovascular Diseases (CVDs)</w:t>
      </w:r>
      <w:r>
        <w:rPr>
          <w:noProof/>
        </w:rPr>
        <w:t>. Retrieved from World Health Organization: https://www.who.int/en/news-room/fact-sheets/detail/cardiovascular-diseases-(cvds)</w:t>
      </w:r>
    </w:p>
    <w:p w14:paraId="3F96003F" w14:textId="52A02E1A" w:rsidR="001C3A39" w:rsidRPr="00343D1E" w:rsidRDefault="00AA0818" w:rsidP="00BA0B61">
      <w:pPr>
        <w:rPr>
          <w:rFonts w:ascii="Open Sans" w:hAnsi="Open Sans" w:cs="Open Sans"/>
        </w:rPr>
      </w:pPr>
      <w:r w:rsidRPr="001318F3">
        <w:rPr>
          <w:rFonts w:ascii="Open Sans" w:hAnsi="Open Sans" w:cs="Open Sans"/>
          <w:sz w:val="20"/>
          <w:szCs w:val="20"/>
        </w:rPr>
        <w:fldChar w:fldCharType="end"/>
      </w:r>
    </w:p>
    <w:sectPr w:rsidR="001C3A39" w:rsidRPr="00343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FBE76" w14:textId="77777777" w:rsidR="00D61A34" w:rsidRDefault="00D61A34" w:rsidP="00D61A34">
      <w:pPr>
        <w:spacing w:after="0" w:line="240" w:lineRule="auto"/>
      </w:pPr>
      <w:r>
        <w:separator/>
      </w:r>
    </w:p>
  </w:endnote>
  <w:endnote w:type="continuationSeparator" w:id="0">
    <w:p w14:paraId="40DF3635" w14:textId="77777777" w:rsidR="00D61A34" w:rsidRDefault="00D61A34" w:rsidP="00D6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Condensed">
    <w:altName w:val="Calibri"/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63CA" w14:textId="77777777" w:rsidR="00D61A34" w:rsidRDefault="00D61A34" w:rsidP="00D61A34">
      <w:pPr>
        <w:spacing w:after="0" w:line="240" w:lineRule="auto"/>
      </w:pPr>
      <w:r>
        <w:separator/>
      </w:r>
    </w:p>
  </w:footnote>
  <w:footnote w:type="continuationSeparator" w:id="0">
    <w:p w14:paraId="5A9A1F3F" w14:textId="77777777" w:rsidR="00D61A34" w:rsidRDefault="00D61A34" w:rsidP="00D61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C1"/>
    <w:rsid w:val="000213EB"/>
    <w:rsid w:val="000321FB"/>
    <w:rsid w:val="000526F2"/>
    <w:rsid w:val="000B00DC"/>
    <w:rsid w:val="000B0989"/>
    <w:rsid w:val="000F13AD"/>
    <w:rsid w:val="001318F3"/>
    <w:rsid w:val="001400B2"/>
    <w:rsid w:val="001428C4"/>
    <w:rsid w:val="00162270"/>
    <w:rsid w:val="00163BA5"/>
    <w:rsid w:val="00167689"/>
    <w:rsid w:val="001A307A"/>
    <w:rsid w:val="001C3A39"/>
    <w:rsid w:val="00246311"/>
    <w:rsid w:val="00263F44"/>
    <w:rsid w:val="00265A3C"/>
    <w:rsid w:val="002D0C03"/>
    <w:rsid w:val="003030C1"/>
    <w:rsid w:val="00305857"/>
    <w:rsid w:val="00305C10"/>
    <w:rsid w:val="003359B9"/>
    <w:rsid w:val="00343D1E"/>
    <w:rsid w:val="00397E81"/>
    <w:rsid w:val="003D0533"/>
    <w:rsid w:val="003D0B2A"/>
    <w:rsid w:val="003E1BC0"/>
    <w:rsid w:val="003F31FD"/>
    <w:rsid w:val="004021E2"/>
    <w:rsid w:val="004B7A29"/>
    <w:rsid w:val="004B7FE5"/>
    <w:rsid w:val="004E4FCF"/>
    <w:rsid w:val="00515E41"/>
    <w:rsid w:val="00516459"/>
    <w:rsid w:val="005204E3"/>
    <w:rsid w:val="00525710"/>
    <w:rsid w:val="005539DA"/>
    <w:rsid w:val="005A294C"/>
    <w:rsid w:val="005C64CB"/>
    <w:rsid w:val="005D05B3"/>
    <w:rsid w:val="005D29EF"/>
    <w:rsid w:val="005F4697"/>
    <w:rsid w:val="00610DB9"/>
    <w:rsid w:val="00623D4A"/>
    <w:rsid w:val="00633F02"/>
    <w:rsid w:val="006518BF"/>
    <w:rsid w:val="0069106B"/>
    <w:rsid w:val="00692EB8"/>
    <w:rsid w:val="00693D54"/>
    <w:rsid w:val="006C0DEB"/>
    <w:rsid w:val="006D241C"/>
    <w:rsid w:val="00703B1C"/>
    <w:rsid w:val="00734560"/>
    <w:rsid w:val="00743CD3"/>
    <w:rsid w:val="00751B26"/>
    <w:rsid w:val="00772E3F"/>
    <w:rsid w:val="00785B38"/>
    <w:rsid w:val="0079656D"/>
    <w:rsid w:val="007B479E"/>
    <w:rsid w:val="007C13E9"/>
    <w:rsid w:val="007D2284"/>
    <w:rsid w:val="007E241E"/>
    <w:rsid w:val="007F6991"/>
    <w:rsid w:val="00803CE6"/>
    <w:rsid w:val="00822023"/>
    <w:rsid w:val="008226D3"/>
    <w:rsid w:val="00885121"/>
    <w:rsid w:val="008A447F"/>
    <w:rsid w:val="008E7EB1"/>
    <w:rsid w:val="00921BE5"/>
    <w:rsid w:val="00966495"/>
    <w:rsid w:val="00971C12"/>
    <w:rsid w:val="009915B3"/>
    <w:rsid w:val="0099447D"/>
    <w:rsid w:val="009A7D6E"/>
    <w:rsid w:val="009B2061"/>
    <w:rsid w:val="009D2F1C"/>
    <w:rsid w:val="009E015C"/>
    <w:rsid w:val="00A706D8"/>
    <w:rsid w:val="00AA0818"/>
    <w:rsid w:val="00AB4649"/>
    <w:rsid w:val="00AC7293"/>
    <w:rsid w:val="00B12D63"/>
    <w:rsid w:val="00B903B8"/>
    <w:rsid w:val="00BA0B61"/>
    <w:rsid w:val="00C443BC"/>
    <w:rsid w:val="00CB1A8F"/>
    <w:rsid w:val="00CB51A0"/>
    <w:rsid w:val="00CE13B7"/>
    <w:rsid w:val="00CF17B1"/>
    <w:rsid w:val="00D019B2"/>
    <w:rsid w:val="00D0399F"/>
    <w:rsid w:val="00D119E3"/>
    <w:rsid w:val="00D1761B"/>
    <w:rsid w:val="00D32472"/>
    <w:rsid w:val="00D33D30"/>
    <w:rsid w:val="00D4218D"/>
    <w:rsid w:val="00D61A34"/>
    <w:rsid w:val="00DB1FA8"/>
    <w:rsid w:val="00DF369B"/>
    <w:rsid w:val="00E04A27"/>
    <w:rsid w:val="00E4635B"/>
    <w:rsid w:val="00E53C98"/>
    <w:rsid w:val="00E71B00"/>
    <w:rsid w:val="00E73BB3"/>
    <w:rsid w:val="00E946E5"/>
    <w:rsid w:val="00EE4F64"/>
    <w:rsid w:val="00EF64B9"/>
    <w:rsid w:val="00F42E00"/>
    <w:rsid w:val="00F44ACA"/>
    <w:rsid w:val="00F51508"/>
    <w:rsid w:val="00F96584"/>
    <w:rsid w:val="00FE1741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E4FE4"/>
  <w15:chartTrackingRefBased/>
  <w15:docId w15:val="{BCA2C785-8243-45DC-9160-8B0E7C9E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61A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1A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1A34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AA0818"/>
  </w:style>
  <w:style w:type="character" w:styleId="Hyperlink">
    <w:name w:val="Hyperlink"/>
    <w:basedOn w:val="DefaultParagraphFont"/>
    <w:uiPriority w:val="99"/>
    <w:unhideWhenUsed/>
    <w:rsid w:val="007C13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3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1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8F3"/>
  </w:style>
  <w:style w:type="paragraph" w:styleId="Footer">
    <w:name w:val="footer"/>
    <w:basedOn w:val="Normal"/>
    <w:link w:val="FooterChar"/>
    <w:uiPriority w:val="99"/>
    <w:unhideWhenUsed/>
    <w:rsid w:val="00131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Don18</b:Tag>
    <b:SourceType>Report</b:SourceType>
    <b:Guid>{0924CB0C-BAD6-4090-98FD-85DE621AE020}</b:Guid>
    <b:Author>
      <b:Author>
        <b:NameList>
          <b:Person>
            <b:Last>Schreiber</b:Last>
            <b:First>Donald</b:First>
          </b:Person>
        </b:NameList>
      </b:Author>
    </b:Author>
    <b:Title>Cardiac Markers</b:Title>
    <b:Year>2018</b:Year>
    <b:Publisher>Medscape</b:Publisher>
    <b:RefOrder>5</b:RefOrder>
  </b:Source>
  <b:Source>
    <b:Tag>Sur16</b:Tag>
    <b:SourceType>Report</b:SourceType>
    <b:Guid>{E56A5B13-01C1-4971-A047-F6E70EA2966D}</b:Guid>
    <b:Author>
      <b:Author>
        <b:NameList>
          <b:Person>
            <b:Last>NCHS</b:Last>
          </b:Person>
        </b:NameList>
      </b:Author>
    </b:Author>
    <b:Title>National Center for Health Statistics:  National Hospital Ambulatory Medical Care Survey</b:Title>
    <b:Year>2018</b:Year>
    <b:Publisher>Centers for Disease Control and Prevention</b:Publisher>
    <b:RefOrder>3</b:RefOrder>
  </b:Source>
  <b:Source>
    <b:Tag>Oli18</b:Tag>
    <b:SourceType>JournalArticle</b:SourceType>
    <b:Guid>{E64D7CC5-BB7C-4ED1-82B0-2DED219C36B8}</b:Guid>
    <b:Title>Acute Myocardial Infarction: Definition, Diagnosis, and the Evolution of Cardiac Markers</b:Title>
    <b:Year>2018</b:Year>
    <b:Author>
      <b:Author>
        <b:NameList>
          <b:Person>
            <b:Last>Oliveira</b:Last>
            <b:First>Ana</b:First>
          </b:Person>
          <b:Person>
            <b:Last>Glasgow</b:Last>
            <b:First>Krystle</b:First>
          </b:Person>
          <b:Person>
            <b:Last>al.</b:Last>
          </b:Person>
        </b:NameList>
      </b:Author>
    </b:Author>
    <b:JournalName>Clinical Laboratory Science</b:JournalName>
    <b:Pages>1-16</b:Pages>
    <b:RefOrder>6</b:RefOrder>
  </b:Source>
  <b:Source>
    <b:Tag>WFr20</b:Tag>
    <b:SourceType>JournalArticle</b:SourceType>
    <b:Guid>{3BB0124E-8F6C-4081-A4F7-1BA911DE3328}</b:Guid>
    <b:Author>
      <b:Author>
        <b:NameList>
          <b:Person>
            <b:Last>Peacock</b:Last>
            <b:First>W.</b:First>
            <b:Middle>Frank</b:Middle>
          </b:Person>
          <b:Person>
            <b:Last>Christenson</b:Last>
            <b:First>Robert</b:First>
          </b:Person>
          <b:Person>
            <b:Last>al.</b:Last>
          </b:Person>
        </b:NameList>
      </b:Author>
    </b:Author>
    <b:Title>Myocardial Infarction Can Be Safely Excluded by High-sensitivity Troponin I Testing 3 Hours After Emergency Department Presentation</b:Title>
    <b:JournalName>Academic Emergency Medicine</b:JournalName>
    <b:Year>2020</b:Year>
    <b:Pages>671-680</b:Pages>
    <b:RefOrder>9</b:RefOrder>
  </b:Source>
  <b:Source>
    <b:Tag>Men11</b:Tag>
    <b:SourceType>Book</b:SourceType>
    <b:Guid>{26784B01-EC47-43D0-A891-03532BDC2A1A}</b:Guid>
    <b:Author>
      <b:Author>
        <b:NameList>
          <b:Person>
            <b:Last>Mendis</b:Last>
            <b:First>S.</b:First>
          </b:Person>
          <b:Person>
            <b:Last>Puska</b:Last>
            <b:First>P.</b:First>
          </b:Person>
          <b:Person>
            <b:Last>Norrving</b:Last>
            <b:First>B.</b:First>
            <b:Middle>G.</b:Middle>
          </b:Person>
        </b:NameList>
      </b:Author>
    </b:Author>
    <b:Title>Global Atlas on Cardiovascular Disease Prevention and Control</b:Title>
    <b:Year>2011</b:Year>
    <b:City>Geneva, Switzerland</b:City>
    <b:Publisher>World Health Organization</b:Publisher>
    <b:RefOrder>2</b:RefOrder>
  </b:Source>
  <b:Source>
    <b:Tag>Wor</b:Tag>
    <b:SourceType>InternetSite</b:SourceType>
    <b:Guid>{FDC13F1E-C3C0-49F1-8A89-A7984783E1D6}</b:Guid>
    <b:Title>Cardiovascular Diseases (CVDs)</b:Title>
    <b:Author>
      <b:Author>
        <b:Corporate>WHO</b:Corporate>
      </b:Author>
    </b:Author>
    <b:URL>https://www.who.int/en/news-room/fact-sheets/detail/cardiovascular-diseases-(cvds)</b:URL>
    <b:Year>2021</b:Year>
    <b:Publisher>World Health Organization</b:Publisher>
    <b:InternetSiteTitle>World Health Organization</b:InternetSiteTitle>
    <b:RefOrder>1</b:RefOrder>
  </b:Source>
  <b:Source>
    <b:Tag>Til11</b:Tag>
    <b:SourceType>JournalArticle</b:SourceType>
    <b:Guid>{EF847916-D3A8-4C0A-9BD2-DA3F344E329D}</b:Guid>
    <b:Title>Past, Present, and Future of Blood Biomarkers for the Diagnosis of Acute Myocardial Infarction--Promises and Challenges</b:Title>
    <b:Year>2021</b:Year>
    <b:Author>
      <b:Author>
        <b:NameList>
          <b:Person>
            <b:Last>Tilea</b:Last>
            <b:First>I.</b:First>
          </b:Person>
          <b:Person>
            <b:Last>Varga</b:Last>
            <b:First>A.</b:First>
          </b:Person>
          <b:Person>
            <b:Last>Serban</b:Last>
            <b:First>R.C.</b:First>
          </b:Person>
        </b:NameList>
      </b:Author>
    </b:Author>
    <b:JournalName>Diagnostics</b:JournalName>
    <b:Pages>1-19</b:Pages>
    <b:RefOrder>4</b:RefOrder>
  </b:Source>
  <b:Source>
    <b:Tag>ESC00</b:Tag>
    <b:SourceType>JournalArticle</b:SourceType>
    <b:Guid>{D9A2B9BA-1518-43FD-9024-3FBC1F59CA2B}</b:Guid>
    <b:Title>Myocardial Infarction Redefined—A Consensus Document of The Joint European Society of Cardiology/American College of Cardiology Committee for the Redefinition of Myocardial Infarction</b:Title>
    <b:Year>2000</b:Year>
    <b:Pages>1502-1513</b:Pages>
    <b:Author>
      <b:Author>
        <b:NameList>
          <b:Person>
            <b:Last>ESC</b:Last>
          </b:Person>
        </b:NameList>
      </b:Author>
    </b:Author>
    <b:JournalName>European Heart Journal</b:JournalName>
    <b:RefOrder>7</b:RefOrder>
  </b:Source>
  <b:Source>
    <b:Tag>Ele20</b:Tag>
    <b:SourceType>JournalArticle</b:SourceType>
    <b:Guid>{7367561F-3554-4416-B22A-5721A6558E71}</b:Guid>
    <b:Author>
      <b:Author>
        <b:NameList>
          <b:Person>
            <b:Last>Aloisio</b:Last>
            <b:First>Elena</b:First>
          </b:Person>
          <b:Person>
            <b:Last>Pasqualetti</b:Last>
            <b:First>Sara</b:First>
          </b:Person>
          <b:Person>
            <b:Last>al.</b:Last>
          </b:Person>
        </b:NameList>
      </b:Author>
    </b:Author>
    <b:Title>Daily Monitoring of a Control Material with a Concentration Near the Limit of Detection Improves the Measurement Accuracy of Highly Sensitive Troponin Assays</b:Title>
    <b:JournalName>Clinical Chemistry and Laboratory Medicine</b:JournalName>
    <b:Year>2020</b:Year>
    <b:Pages>29-31</b:Pages>
    <b:RefOrder>8</b:RefOrder>
  </b:Source>
  <b:Source>
    <b:Tag>Ala15</b:Tag>
    <b:SourceType>JournalArticle</b:SourceType>
    <b:Guid>{F60303E2-BC39-4154-8A0F-F9F5A427D48C}</b:Guid>
    <b:Author>
      <b:Author>
        <b:NameList>
          <b:Person>
            <b:Last>Storrow</b:Last>
            <b:First>Alan</b:First>
            <b:Middle>B.</b:Middle>
          </b:Person>
          <b:Person>
            <b:Last>Christenson</b:Last>
            <b:First>Robert</b:First>
            <b:Middle>H.</b:Middle>
          </b:Person>
          <b:Person>
            <b:Last>al.</b:Last>
          </b:Person>
        </b:NameList>
      </b:Author>
    </b:Author>
    <b:Title>Diagnostic Performance of Cardiac Troponin I for Early Rule-in and Rule-out of Acute Myocardial Infarction: Results of a Prospective Multicenter Trial</b:Title>
    <b:JournalName>Clinical Biochemistry</b:JournalName>
    <b:Year>2015</b:Year>
    <b:Pages>254-259</b:Pages>
    <b:RefOrder>10</b:RefOrder>
  </b:Source>
</b:Sources>
</file>

<file path=customXml/itemProps1.xml><?xml version="1.0" encoding="utf-8"?>
<ds:datastoreItem xmlns:ds="http://schemas.openxmlformats.org/officeDocument/2006/customXml" ds:itemID="{1C73AEEB-AD23-4E4E-97D3-AB91E522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Walker</dc:creator>
  <cp:keywords/>
  <dc:description/>
  <cp:lastModifiedBy>Faye Walker</cp:lastModifiedBy>
  <cp:revision>14</cp:revision>
  <cp:lastPrinted>2021-08-19T21:19:00Z</cp:lastPrinted>
  <dcterms:created xsi:type="dcterms:W3CDTF">2021-08-13T17:10:00Z</dcterms:created>
  <dcterms:modified xsi:type="dcterms:W3CDTF">2021-08-19T21:53:00Z</dcterms:modified>
</cp:coreProperties>
</file>